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rFonts w:ascii="等线" w:hAnsi="等线" w:eastAsia="等线"/>
          <w:color w:val="000000"/>
          <w:sz w:val="44"/>
        </w:rPr>
        <w:t>报告封面</w:t>
      </w:r>
    </w:p>
    <w:p>
      <w:pPr>
        <w:jc w:val="left"/>
      </w:pPr>
      <w:r>
        <w:rPr>
          <w:rFonts w:ascii="等线" w:hAnsi="等线"/>
          <w:b w:val="0"/>
          <w:sz w:val="21"/>
        </w:rPr>
      </w:r>
    </w:p>
    <w:p>
      <w:pPr>
        <w:jc w:val="center"/>
      </w:pPr>
      <w:r>
        <w:rPr>
          <w:rFonts w:ascii="等线" w:hAnsi="等线"/>
          <w:b w:val="0"/>
          <w:sz w:val="84"/>
        </w:rPr>
        <w:t>上海第二汽车零部件厂</w:t>
      </w:r>
    </w:p>
    <w:p>
      <w:pPr>
        <w:jc w:val="center"/>
      </w:pPr>
      <w:r>
        <w:rPr>
          <w:rFonts w:ascii="等线" w:hAnsi="等线"/>
          <w:b w:val="0"/>
          <w:sz w:val="84"/>
        </w:rPr>
        <w:t>2023年度</w:t>
      </w:r>
    </w:p>
    <w:p>
      <w:pPr>
        <w:jc w:val="center"/>
      </w:pPr>
      <w:r>
        <w:rPr>
          <w:rFonts w:ascii="等线" w:hAnsi="等线"/>
          <w:b w:val="0"/>
          <w:sz w:val="84"/>
        </w:rPr>
        <w:t>可持续发展报告</w:t>
      </w:r>
    </w:p>
    <w:p>
      <w:r>
        <w:br w:type="page"/>
      </w:r>
    </w:p>
    <w:p>
      <w:pPr>
        <w:pStyle w:val="Heading1"/>
      </w:pPr>
      <w:r>
        <w:rPr>
          <w:rFonts w:ascii="等线" w:hAnsi="等线" w:eastAsia="等线"/>
          <w:color w:val="000000"/>
          <w:sz w:val="44"/>
        </w:rPr>
        <w:t>关于报告</w:t>
      </w:r>
    </w:p>
    <w:p>
      <w:pPr>
        <w:pStyle w:val="Heading2"/>
      </w:pPr>
      <w:r>
        <w:rPr>
          <w:rFonts w:ascii="等线" w:hAnsi="等线" w:eastAsia="等线"/>
          <w:color w:val="000000"/>
          <w:sz w:val="32"/>
        </w:rPr>
        <w:t>报告范围与边界</w:t>
      </w:r>
    </w:p>
    <w:p>
      <w:pPr>
        <w:jc w:val="left"/>
      </w:pPr>
      <w:r>
        <w:rPr>
          <w:rFonts w:ascii="等线" w:hAnsi="等线"/>
          <w:b w:val="0"/>
          <w:sz w:val="21"/>
        </w:rPr>
        <w:t>本报告所含经营实体范围与年报一致。</w:t>
        <w:br/>
        <w:t>具体包含如下几个公司：</w:t>
        <w:br/>
        <w:t>1.XXX有限公司</w:t>
        <w:br/>
        <w:t>2.YYY有限公司</w:t>
      </w:r>
    </w:p>
    <w:p>
      <w:pPr>
        <w:pStyle w:val="Heading2"/>
      </w:pPr>
      <w:r>
        <w:rPr>
          <w:rFonts w:ascii="等线" w:hAnsi="等线" w:eastAsia="等线"/>
          <w:color w:val="000000"/>
          <w:sz w:val="32"/>
        </w:rPr>
        <w:t>报告时间范围</w:t>
      </w:r>
    </w:p>
    <w:p>
      <w:pPr>
        <w:jc w:val="left"/>
      </w:pPr>
      <w:r>
        <w:rPr>
          <w:rFonts w:ascii="等线" w:hAnsi="等线"/>
          <w:b w:val="0"/>
          <w:sz w:val="21"/>
        </w:rPr>
        <w:t>本报告覆盖的周期为 2023年 1 月 1 日至 2023 年 12 月 31 日（简称“报告期”），部分内容追溯以往年份及涵盖 2024年第一季度。</w:t>
      </w:r>
    </w:p>
    <w:p>
      <w:pPr>
        <w:pStyle w:val="Heading2"/>
      </w:pPr>
      <w:r>
        <w:rPr>
          <w:rFonts w:ascii="等线" w:hAnsi="等线" w:eastAsia="等线"/>
          <w:color w:val="000000"/>
          <w:sz w:val="32"/>
        </w:rPr>
        <w:t>参照标准</w:t>
      </w:r>
    </w:p>
    <w:p>
      <w:pPr>
        <w:jc w:val="left"/>
      </w:pPr>
      <w:r>
        <w:rPr>
          <w:rFonts w:ascii="等线" w:hAnsi="等线"/>
          <w:b w:val="0"/>
          <w:sz w:val="21"/>
        </w:rPr>
        <w:t>本报告主要参照《上海证券交易所上市公司自律监管指引第14号——可持续发展报告（试行）》，同时参考与回应了联合国可持续发展目标（SDGs）、国际可持续准则理事会（ISSB）标准、可持续发展会计准则委员会（SASB）准则等标准编写。</w:t>
      </w:r>
    </w:p>
    <w:p>
      <w:pPr>
        <w:pStyle w:val="Heading2"/>
      </w:pPr>
      <w:r>
        <w:rPr>
          <w:rFonts w:ascii="等线" w:hAnsi="等线" w:eastAsia="等线"/>
          <w:color w:val="000000"/>
          <w:sz w:val="32"/>
        </w:rPr>
        <w:t>可靠性</w:t>
      </w:r>
    </w:p>
    <w:p>
      <w:pPr>
        <w:jc w:val="left"/>
      </w:pPr>
      <w:r>
        <w:rPr>
          <w:rFonts w:ascii="等线" w:hAnsi="等线"/>
          <w:b w:val="0"/>
          <w:sz w:val="21"/>
        </w:rPr>
        <w:t>本报告披露的信息和数据来源于公司统计报告和正式文件，并通过相关部门审核。本公司承诺本报告不存在任何虛假记载或误导性陈述，并对内容真实性、准确性和完整性负责。</w:t>
      </w:r>
    </w:p>
    <w:p>
      <w:r>
        <w:br w:type="page"/>
      </w:r>
    </w:p>
    <w:p>
      <w:pPr>
        <w:pStyle w:val="Heading1"/>
      </w:pPr>
      <w:r>
        <w:rPr>
          <w:rFonts w:ascii="等线" w:hAnsi="等线" w:eastAsia="等线"/>
          <w:color w:val="000000"/>
          <w:sz w:val="44"/>
        </w:rPr>
        <w:t>高管致辞</w:t>
      </w:r>
    </w:p>
    <w:p>
      <w:pPr>
        <w:jc w:val="left"/>
      </w:pPr>
      <w:r>
        <w:rPr>
          <w:rFonts w:ascii="等线" w:hAnsi="等线"/>
          <w:b w:val="0"/>
          <w:sz w:val="21"/>
        </w:rPr>
        <w:t>尊敬的投资者、合作伙伴和社会各界朋友：</w:t>
      </w:r>
    </w:p>
    <w:p>
      <w:pPr>
        <w:jc w:val="left"/>
      </w:pPr>
      <w:r>
        <w:rPr>
          <w:rFonts w:ascii="等线" w:hAnsi="等线"/>
          <w:b w:val="0"/>
          <w:sz w:val="21"/>
        </w:rPr>
        <w:t>大家好！</w:t>
      </w:r>
    </w:p>
    <w:p>
      <w:pPr>
        <w:jc w:val="left"/>
      </w:pPr>
      <w:r>
        <w:rPr>
          <w:rFonts w:ascii="等线" w:hAnsi="等线"/>
          <w:b w:val="0"/>
          <w:sz w:val="21"/>
        </w:rPr>
        <w:t>我非常荣幸能够代表我们公司，向大家呈上这份 ESG 报告。在过去的一年里，我们公司在 ESG 方面取得了显著的进展，同时也面临着一些挑战。在本报告中，我们将详细介绍我们公司在 ESG 方面的表现和未来的发展计划。</w:t>
      </w:r>
    </w:p>
    <w:p>
      <w:pPr>
        <w:jc w:val="left"/>
      </w:pPr>
      <w:r>
        <w:rPr>
          <w:rFonts w:ascii="等线" w:hAnsi="等线"/>
          <w:b w:val="0"/>
          <w:sz w:val="21"/>
        </w:rPr>
        <w:t>一、公司概况</w:t>
      </w:r>
    </w:p>
    <w:p>
      <w:pPr>
        <w:jc w:val="left"/>
      </w:pPr>
      <w:r>
        <w:rPr>
          <w:rFonts w:ascii="等线" w:hAnsi="等线"/>
          <w:b w:val="0"/>
          <w:sz w:val="21"/>
        </w:rPr>
        <w:t>我们公司是一家面向国际市场的大型民营汽车零部件企业，成立于</w:t>
      </w:r>
      <w:r>
        <w:rPr>
          <w:rFonts w:ascii="等线" w:hAnsi="等线"/>
          <w:b w:val="0"/>
          <w:sz w:val="21"/>
          <w:highlight w:val="yellow"/>
        </w:rPr>
        <w:t>[成立年份]</w:t>
      </w:r>
      <w:r>
        <w:rPr>
          <w:rFonts w:ascii="等线" w:hAnsi="等线"/>
          <w:b w:val="0"/>
          <w:sz w:val="21"/>
        </w:rPr>
        <w:t>，总部位于</w:t>
      </w:r>
      <w:r>
        <w:rPr>
          <w:rFonts w:ascii="等线" w:hAnsi="等线"/>
          <w:b w:val="0"/>
          <w:sz w:val="21"/>
          <w:highlight w:val="yellow"/>
        </w:rPr>
        <w:t>[总部所在地]</w:t>
      </w:r>
      <w:r>
        <w:rPr>
          <w:rFonts w:ascii="等线" w:hAnsi="等线"/>
          <w:b w:val="0"/>
          <w:sz w:val="21"/>
        </w:rPr>
        <w:t>。我们公司主要生产和销售汽车零部件，产品涵盖发动机、底盘、电子系统等多个领域。我们公司的客户包括全球知名的汽车制造商和零部件供应商，我们的产品远销欧洲、北美、亚洲等多个地区。</w:t>
      </w:r>
    </w:p>
    <w:p>
      <w:pPr>
        <w:jc w:val="left"/>
      </w:pPr>
      <w:r>
        <w:rPr>
          <w:rFonts w:ascii="等线" w:hAnsi="等线"/>
          <w:b w:val="0"/>
          <w:sz w:val="21"/>
        </w:rPr>
        <w:t>二、ESG 管理</w:t>
      </w:r>
    </w:p>
    <w:p>
      <w:pPr>
        <w:jc w:val="left"/>
      </w:pPr>
      <w:r>
        <w:rPr>
          <w:rFonts w:ascii="等线" w:hAnsi="等线"/>
          <w:b w:val="0"/>
          <w:sz w:val="21"/>
        </w:rPr>
        <w:t>我们公司高度重视 ESG 管理，将 ESG 理念融入到公司的战略规划和日常运营中。我们公司成立了 ESG 管理委员会，负责制定和监督公司的 ESG 政策和目标。我们公司还建立了完善的 ESG 管理体系，包括环境管理、社会责任管理和公司治理等方面。</w:t>
      </w:r>
    </w:p>
    <w:p>
      <w:pPr>
        <w:jc w:val="left"/>
      </w:pPr>
      <w:r>
        <w:rPr>
          <w:rFonts w:ascii="等线" w:hAnsi="等线"/>
          <w:b w:val="0"/>
          <w:sz w:val="21"/>
        </w:rPr>
        <w:t>三、环境管理</w:t>
      </w:r>
    </w:p>
    <w:p>
      <w:pPr>
        <w:jc w:val="left"/>
      </w:pPr>
      <w:r>
        <w:rPr>
          <w:rFonts w:ascii="等线" w:hAnsi="等线"/>
          <w:b w:val="0"/>
          <w:sz w:val="21"/>
        </w:rPr>
        <w:t>我们公司致力于减少对环境的影响，通过不断改进生产工艺和技术，提高能源利用效率，减少废弃物排放。我们公司的主要环境指标如下：</w:t>
      </w:r>
    </w:p>
    <w:p>
      <w:pPr>
        <w:jc w:val="left"/>
      </w:pPr>
      <w:r>
        <w:rPr>
          <w:rFonts w:ascii="等线" w:hAnsi="等线"/>
          <w:b w:val="0"/>
          <w:sz w:val="21"/>
        </w:rPr>
        <w:t>1. 能源消耗：我们公司在过去一年里的能源消耗为</w:t>
      </w:r>
      <w:r>
        <w:rPr>
          <w:rFonts w:ascii="等线" w:hAnsi="等线"/>
          <w:b w:val="0"/>
          <w:sz w:val="21"/>
          <w:highlight w:val="yellow"/>
        </w:rPr>
        <w:t>[具体数值]</w:t>
      </w:r>
      <w:r>
        <w:rPr>
          <w:rFonts w:ascii="等线" w:hAnsi="等线"/>
          <w:b w:val="0"/>
          <w:sz w:val="21"/>
        </w:rPr>
        <w:t>吨标准煤，同比下降了</w:t>
      </w:r>
      <w:r>
        <w:rPr>
          <w:rFonts w:ascii="等线" w:hAnsi="等线"/>
          <w:b w:val="0"/>
          <w:sz w:val="21"/>
          <w:highlight w:val="yellow"/>
        </w:rPr>
        <w:t>[下降比例]</w:t>
      </w:r>
      <w:r>
        <w:rPr>
          <w:rFonts w:ascii="等线" w:hAnsi="等线"/>
          <w:b w:val="0"/>
          <w:sz w:val="21"/>
        </w:rPr>
        <w:t>%。</w:t>
      </w:r>
    </w:p>
    <w:p>
      <w:pPr>
        <w:jc w:val="left"/>
      </w:pPr>
      <w:r>
        <w:rPr>
          <w:rFonts w:ascii="等线" w:hAnsi="等线"/>
          <w:b w:val="0"/>
          <w:sz w:val="21"/>
        </w:rPr>
        <w:t>2. 温室气体排放：我们公司在过去一年里的温室气体排放为</w:t>
      </w:r>
      <w:r>
        <w:rPr>
          <w:rFonts w:ascii="等线" w:hAnsi="等线"/>
          <w:b w:val="0"/>
          <w:sz w:val="21"/>
          <w:highlight w:val="yellow"/>
        </w:rPr>
        <w:t>[具体数值]</w:t>
      </w:r>
      <w:r>
        <w:rPr>
          <w:rFonts w:ascii="等线" w:hAnsi="等线"/>
          <w:b w:val="0"/>
          <w:sz w:val="21"/>
        </w:rPr>
        <w:t>吨二氧化碳当量，同比下降了</w:t>
      </w:r>
      <w:r>
        <w:rPr>
          <w:rFonts w:ascii="等线" w:hAnsi="等线"/>
          <w:b w:val="0"/>
          <w:sz w:val="21"/>
          <w:highlight w:val="yellow"/>
        </w:rPr>
        <w:t>[下降比例]</w:t>
      </w:r>
      <w:r>
        <w:rPr>
          <w:rFonts w:ascii="等线" w:hAnsi="等线"/>
          <w:b w:val="0"/>
          <w:sz w:val="21"/>
        </w:rPr>
        <w:t>%。</w:t>
      </w:r>
    </w:p>
    <w:p>
      <w:pPr>
        <w:jc w:val="left"/>
      </w:pPr>
      <w:r>
        <w:rPr>
          <w:rFonts w:ascii="等线" w:hAnsi="等线"/>
          <w:b w:val="0"/>
          <w:sz w:val="21"/>
        </w:rPr>
        <w:t>3. 废弃物排放：我们公司在过去一年里的废弃物排放为</w:t>
      </w:r>
      <w:r>
        <w:rPr>
          <w:rFonts w:ascii="等线" w:hAnsi="等线"/>
          <w:b w:val="0"/>
          <w:sz w:val="21"/>
          <w:highlight w:val="yellow"/>
        </w:rPr>
        <w:t>[具体数值]</w:t>
      </w:r>
      <w:r>
        <w:rPr>
          <w:rFonts w:ascii="等线" w:hAnsi="等线"/>
          <w:b w:val="0"/>
          <w:sz w:val="21"/>
        </w:rPr>
        <w:t>吨，同比下降了</w:t>
      </w:r>
      <w:r>
        <w:rPr>
          <w:rFonts w:ascii="等线" w:hAnsi="等线"/>
          <w:b w:val="0"/>
          <w:sz w:val="21"/>
          <w:highlight w:val="yellow"/>
        </w:rPr>
        <w:t>[下降比例]</w:t>
      </w:r>
      <w:r>
        <w:rPr>
          <w:rFonts w:ascii="等线" w:hAnsi="等线"/>
          <w:b w:val="0"/>
          <w:sz w:val="21"/>
        </w:rPr>
        <w:t>%。</w:t>
      </w:r>
    </w:p>
    <w:p>
      <w:pPr>
        <w:jc w:val="left"/>
      </w:pPr>
      <w:r>
        <w:rPr>
          <w:rFonts w:ascii="等线" w:hAnsi="等线"/>
          <w:b w:val="0"/>
          <w:sz w:val="21"/>
        </w:rPr>
        <w:t>四、社会责任</w:t>
      </w:r>
    </w:p>
    <w:p>
      <w:pPr>
        <w:jc w:val="left"/>
      </w:pPr>
      <w:r>
        <w:rPr>
          <w:rFonts w:ascii="等线" w:hAnsi="等线"/>
          <w:b w:val="0"/>
          <w:sz w:val="21"/>
        </w:rPr>
        <w:t>我们公司积极履行社会责任，关注员工的福利和发展，为社会做出贡献。我们公司的主要社会责任指标如下：</w:t>
      </w:r>
    </w:p>
    <w:p>
      <w:pPr>
        <w:jc w:val="left"/>
      </w:pPr>
      <w:r>
        <w:rPr>
          <w:rFonts w:ascii="等线" w:hAnsi="等线"/>
          <w:b w:val="0"/>
          <w:sz w:val="21"/>
        </w:rPr>
        <w:t>1. 员工人数：我们公司在过去一年里的员工人数为</w:t>
      </w:r>
      <w:r>
        <w:rPr>
          <w:rFonts w:ascii="等线" w:hAnsi="等线"/>
          <w:b w:val="0"/>
          <w:sz w:val="21"/>
          <w:highlight w:val="yellow"/>
        </w:rPr>
        <w:t>[具体数值]</w:t>
      </w:r>
      <w:r>
        <w:rPr>
          <w:rFonts w:ascii="等线" w:hAnsi="等线"/>
          <w:b w:val="0"/>
          <w:sz w:val="21"/>
        </w:rPr>
        <w:t>人，同比增长了</w:t>
      </w:r>
      <w:r>
        <w:rPr>
          <w:rFonts w:ascii="等线" w:hAnsi="等线"/>
          <w:b w:val="0"/>
          <w:sz w:val="21"/>
          <w:highlight w:val="yellow"/>
        </w:rPr>
        <w:t>[增长比例]</w:t>
      </w:r>
      <w:r>
        <w:rPr>
          <w:rFonts w:ascii="等线" w:hAnsi="等线"/>
          <w:b w:val="0"/>
          <w:sz w:val="21"/>
        </w:rPr>
        <w:t>%。</w:t>
      </w:r>
    </w:p>
    <w:p>
      <w:pPr>
        <w:jc w:val="left"/>
      </w:pPr>
      <w:r>
        <w:rPr>
          <w:rFonts w:ascii="等线" w:hAnsi="等线"/>
          <w:b w:val="0"/>
          <w:sz w:val="21"/>
        </w:rPr>
        <w:t>2. 员工培训：我们公司在过去一年里的员工培训费用为</w:t>
      </w:r>
      <w:r>
        <w:rPr>
          <w:rFonts w:ascii="等线" w:hAnsi="等线"/>
          <w:b w:val="0"/>
          <w:sz w:val="21"/>
          <w:highlight w:val="yellow"/>
        </w:rPr>
        <w:t>[具体数值]</w:t>
      </w:r>
      <w:r>
        <w:rPr>
          <w:rFonts w:ascii="等线" w:hAnsi="等线"/>
          <w:b w:val="0"/>
          <w:sz w:val="21"/>
        </w:rPr>
        <w:t>万元，同比增长了</w:t>
      </w:r>
      <w:r>
        <w:rPr>
          <w:rFonts w:ascii="等线" w:hAnsi="等线"/>
          <w:b w:val="0"/>
          <w:sz w:val="21"/>
          <w:highlight w:val="yellow"/>
        </w:rPr>
        <w:t>[增长比例]</w:t>
      </w:r>
      <w:r>
        <w:rPr>
          <w:rFonts w:ascii="等线" w:hAnsi="等线"/>
          <w:b w:val="0"/>
          <w:sz w:val="21"/>
        </w:rPr>
        <w:t>%。</w:t>
      </w:r>
    </w:p>
    <w:p>
      <w:pPr>
        <w:jc w:val="left"/>
      </w:pPr>
      <w:r>
        <w:rPr>
          <w:rFonts w:ascii="等线" w:hAnsi="等线"/>
          <w:b w:val="0"/>
          <w:sz w:val="21"/>
        </w:rPr>
        <w:t>3. 社会捐赠：我们公司在过去一年里的社会捐赠为</w:t>
      </w:r>
      <w:r>
        <w:rPr>
          <w:rFonts w:ascii="等线" w:hAnsi="等线"/>
          <w:b w:val="0"/>
          <w:sz w:val="21"/>
          <w:highlight w:val="yellow"/>
        </w:rPr>
        <w:t>[具体数值]</w:t>
      </w:r>
      <w:r>
        <w:rPr>
          <w:rFonts w:ascii="等线" w:hAnsi="等线"/>
          <w:b w:val="0"/>
          <w:sz w:val="21"/>
        </w:rPr>
        <w:t>万元，同比增长了</w:t>
      </w:r>
      <w:r>
        <w:rPr>
          <w:rFonts w:ascii="等线" w:hAnsi="等线"/>
          <w:b w:val="0"/>
          <w:sz w:val="21"/>
          <w:highlight w:val="yellow"/>
        </w:rPr>
        <w:t>[增长比例]</w:t>
      </w:r>
      <w:r>
        <w:rPr>
          <w:rFonts w:ascii="等线" w:hAnsi="等线"/>
          <w:b w:val="0"/>
          <w:sz w:val="21"/>
        </w:rPr>
        <w:t>%。</w:t>
      </w:r>
    </w:p>
    <w:p>
      <w:pPr>
        <w:jc w:val="left"/>
      </w:pPr>
      <w:r>
        <w:rPr>
          <w:rFonts w:ascii="等线" w:hAnsi="等线"/>
          <w:b w:val="0"/>
          <w:sz w:val="21"/>
        </w:rPr>
        <w:t>五、公司治理</w:t>
      </w:r>
    </w:p>
    <w:p>
      <w:pPr>
        <w:jc w:val="left"/>
      </w:pPr>
      <w:r>
        <w:rPr>
          <w:rFonts w:ascii="等线" w:hAnsi="等线"/>
          <w:b w:val="0"/>
          <w:sz w:val="21"/>
        </w:rPr>
        <w:t>我们公司建立了完善的公司治理结构，确保公司的运营合法、透明、高效。我们公司的主要公司治理指标如下：</w:t>
      </w:r>
    </w:p>
    <w:p>
      <w:pPr>
        <w:jc w:val="left"/>
      </w:pPr>
      <w:r>
        <w:rPr>
          <w:rFonts w:ascii="等线" w:hAnsi="等线"/>
          <w:b w:val="0"/>
          <w:sz w:val="21"/>
        </w:rPr>
        <w:t>1. 董事会成员：我们公司的董事会成员由</w:t>
      </w:r>
      <w:r>
        <w:rPr>
          <w:rFonts w:ascii="等线" w:hAnsi="等线"/>
          <w:b w:val="0"/>
          <w:sz w:val="21"/>
          <w:highlight w:val="yellow"/>
        </w:rPr>
        <w:t>[具体人数]</w:t>
      </w:r>
      <w:r>
        <w:rPr>
          <w:rFonts w:ascii="等线" w:hAnsi="等线"/>
          <w:b w:val="0"/>
          <w:sz w:val="21"/>
        </w:rPr>
        <w:t>人组成，其中独立董事人数为</w:t>
      </w:r>
      <w:r>
        <w:rPr>
          <w:rFonts w:ascii="等线" w:hAnsi="等线"/>
          <w:b w:val="0"/>
          <w:sz w:val="21"/>
          <w:highlight w:val="yellow"/>
        </w:rPr>
        <w:t>[具体人数]</w:t>
      </w:r>
      <w:r>
        <w:rPr>
          <w:rFonts w:ascii="等线" w:hAnsi="等线"/>
          <w:b w:val="0"/>
          <w:sz w:val="21"/>
        </w:rPr>
        <w:t>人。</w:t>
      </w:r>
    </w:p>
    <w:p>
      <w:pPr>
        <w:jc w:val="left"/>
      </w:pPr>
      <w:r>
        <w:rPr>
          <w:rFonts w:ascii="等线" w:hAnsi="等线"/>
          <w:b w:val="0"/>
          <w:sz w:val="21"/>
        </w:rPr>
        <w:t>2. 监事会成员：我们公司的监事会成员由</w:t>
      </w:r>
      <w:r>
        <w:rPr>
          <w:rFonts w:ascii="等线" w:hAnsi="等线"/>
          <w:b w:val="0"/>
          <w:sz w:val="21"/>
          <w:highlight w:val="yellow"/>
        </w:rPr>
        <w:t>[具体人数]</w:t>
      </w:r>
      <w:r>
        <w:rPr>
          <w:rFonts w:ascii="等线" w:hAnsi="等线"/>
          <w:b w:val="0"/>
          <w:sz w:val="21"/>
        </w:rPr>
        <w:t>人组成，其中职工代表监事人数为</w:t>
      </w:r>
      <w:r>
        <w:rPr>
          <w:rFonts w:ascii="等线" w:hAnsi="等线"/>
          <w:b w:val="0"/>
          <w:sz w:val="21"/>
          <w:highlight w:val="yellow"/>
        </w:rPr>
        <w:t>[具体人数]</w:t>
      </w:r>
      <w:r>
        <w:rPr>
          <w:rFonts w:ascii="等线" w:hAnsi="等线"/>
          <w:b w:val="0"/>
          <w:sz w:val="21"/>
        </w:rPr>
        <w:t>人。</w:t>
      </w:r>
    </w:p>
    <w:p>
      <w:pPr>
        <w:jc w:val="left"/>
      </w:pPr>
      <w:r>
        <w:rPr>
          <w:rFonts w:ascii="等线" w:hAnsi="等线"/>
          <w:b w:val="0"/>
          <w:sz w:val="21"/>
        </w:rPr>
        <w:t>3. 信息披露：我们公司在过去一年里的信息披露及时、准确、完整，符合相关法律法规的要求。</w:t>
      </w:r>
    </w:p>
    <w:p>
      <w:pPr>
        <w:jc w:val="left"/>
      </w:pPr>
      <w:r>
        <w:rPr>
          <w:rFonts w:ascii="等线" w:hAnsi="等线"/>
          <w:b w:val="0"/>
          <w:sz w:val="21"/>
        </w:rPr>
        <w:t>六、未来展望</w:t>
      </w:r>
    </w:p>
    <w:p>
      <w:pPr>
        <w:jc w:val="left"/>
      </w:pPr>
      <w:r>
        <w:rPr>
          <w:rFonts w:ascii="等线" w:hAnsi="等线"/>
          <w:b w:val="0"/>
          <w:sz w:val="21"/>
        </w:rPr>
        <w:t>我们公司将继续加强 ESG 管理，不断提高公司的 ESG 表现。我们公司的未来发展计划如下：</w:t>
      </w:r>
    </w:p>
    <w:p>
      <w:pPr>
        <w:jc w:val="left"/>
      </w:pPr>
      <w:r>
        <w:rPr>
          <w:rFonts w:ascii="等线" w:hAnsi="等线"/>
          <w:b w:val="0"/>
          <w:sz w:val="21"/>
        </w:rPr>
        <w:t>1. 环境管理：我们公司将继续加大对环境保护的投入，提高能源利用效率，减少废弃物排放，实现可持续发展。</w:t>
      </w:r>
    </w:p>
    <w:p>
      <w:pPr>
        <w:jc w:val="left"/>
      </w:pPr>
      <w:r>
        <w:rPr>
          <w:rFonts w:ascii="等线" w:hAnsi="等线"/>
          <w:b w:val="0"/>
          <w:sz w:val="21"/>
        </w:rPr>
        <w:t>2. 社会责任：我们公司将继续关注员工的福利和发展，为社会做出更大的贡献。</w:t>
      </w:r>
    </w:p>
    <w:p>
      <w:pPr>
        <w:jc w:val="left"/>
      </w:pPr>
      <w:r>
        <w:rPr>
          <w:rFonts w:ascii="等线" w:hAnsi="等线"/>
          <w:b w:val="0"/>
          <w:sz w:val="21"/>
        </w:rPr>
        <w:t>3. 公司治理：我们公司将继续完善公司治理结构，提高公司的运营效率和透明度。</w:t>
      </w:r>
    </w:p>
    <w:p>
      <w:pPr>
        <w:jc w:val="left"/>
      </w:pPr>
      <w:r>
        <w:rPr>
          <w:rFonts w:ascii="等线" w:hAnsi="等线"/>
          <w:b w:val="0"/>
          <w:sz w:val="21"/>
        </w:rPr>
        <w:t>最后，我要感谢各位投资者、合作伙伴和社会各界朋友对我们公司的支持和关注。我们公司将一如既往地致力于为客户提供优质的产品和服务，为社会做出贡献。</w:t>
      </w:r>
    </w:p>
    <w:p>
      <w:pPr>
        <w:jc w:val="left"/>
      </w:pPr>
      <w:r>
        <w:rPr>
          <w:rFonts w:ascii="等线" w:hAnsi="等线"/>
          <w:b w:val="0"/>
          <w:sz w:val="21"/>
        </w:rPr>
        <w:t>谢谢大家！</w:t>
      </w:r>
    </w:p>
    <w:p>
      <w:pPr>
        <w:jc w:val="left"/>
      </w:pPr>
      <w:r>
        <w:rPr>
          <w:rFonts w:ascii="等线" w:hAnsi="等线"/>
          <w:b w:val="0"/>
          <w:sz w:val="21"/>
        </w:rPr>
      </w:r>
      <w:r>
        <w:rPr>
          <w:rFonts w:ascii="等线" w:hAnsi="等线"/>
          <w:b w:val="0"/>
          <w:sz w:val="21"/>
          <w:highlight w:val="yellow"/>
        </w:rPr>
        <w:t>[公司名称]</w:t>
      </w:r>
      <w:r>
        <w:rPr>
          <w:rFonts w:ascii="等线" w:hAnsi="等线"/>
          <w:b w:val="0"/>
          <w:sz w:val="21"/>
        </w:rPr>
      </w:r>
    </w:p>
    <w:p>
      <w:pPr>
        <w:jc w:val="left"/>
      </w:pPr>
      <w:r>
        <w:rPr>
          <w:rFonts w:ascii="等线" w:hAnsi="等线"/>
          <w:b w:val="0"/>
          <w:sz w:val="21"/>
        </w:rPr>
      </w:r>
      <w:r>
        <w:rPr>
          <w:rFonts w:ascii="等线" w:hAnsi="等线"/>
          <w:b w:val="0"/>
          <w:sz w:val="21"/>
          <w:highlight w:val="yellow"/>
        </w:rPr>
        <w:t>[高管姓名]</w:t>
      </w:r>
      <w:r>
        <w:rPr>
          <w:rFonts w:ascii="等线" w:hAnsi="等线"/>
          <w:b w:val="0"/>
          <w:sz w:val="21"/>
        </w:rPr>
      </w:r>
    </w:p>
    <w:p>
      <w:pPr>
        <w:jc w:val="left"/>
      </w:pPr>
      <w:r>
        <w:rPr>
          <w:rFonts w:ascii="等线" w:hAnsi="等线"/>
          <w:b w:val="0"/>
          <w:sz w:val="21"/>
        </w:rPr>
      </w:r>
      <w:r>
        <w:rPr>
          <w:rFonts w:ascii="等线" w:hAnsi="等线"/>
          <w:b w:val="0"/>
          <w:sz w:val="21"/>
          <w:highlight w:val="yellow"/>
        </w:rPr>
        <w:t>[日期]</w:t>
      </w:r>
      <w:r>
        <w:rPr>
          <w:rFonts w:ascii="等线" w:hAnsi="等线"/>
          <w:b w:val="0"/>
          <w:sz w:val="21"/>
        </w:rPr>
      </w:r>
    </w:p>
    <w:p>
      <w:r>
        <w:br w:type="page"/>
      </w:r>
    </w:p>
    <w:p>
      <w:pPr>
        <w:pStyle w:val="Heading1"/>
      </w:pPr>
      <w:r>
        <w:rPr>
          <w:rFonts w:ascii="等线" w:hAnsi="等线" w:eastAsia="等线"/>
          <w:color w:val="000000"/>
          <w:sz w:val="44"/>
        </w:rPr>
        <w:t>公司概况</w:t>
      </w:r>
    </w:p>
    <w:p>
      <w:pPr>
        <w:jc w:val="left"/>
      </w:pPr>
      <w:r>
        <w:rPr>
          <w:rFonts w:ascii="等线" w:hAnsi="等线"/>
          <w:b w:val="0"/>
          <w:sz w:val="21"/>
        </w:rPr>
        <w:t>以下是一个面向国际市场的大型民营汽车零部件企业 ESG 报告中公司概况的内容模板：</w:t>
      </w:r>
    </w:p>
    <w:p>
      <w:pPr>
        <w:jc w:val="left"/>
      </w:pPr>
      <w:r>
        <w:rPr>
          <w:rFonts w:ascii="等线" w:hAnsi="等线"/>
          <w:b w:val="0"/>
          <w:sz w:val="21"/>
        </w:rPr>
        <w:t>公司概况</w:t>
      </w:r>
    </w:p>
    <w:p>
      <w:pPr>
        <w:jc w:val="left"/>
      </w:pPr>
      <w:r>
        <w:rPr>
          <w:rFonts w:ascii="等线" w:hAnsi="等线"/>
          <w:b w:val="0"/>
          <w:sz w:val="21"/>
        </w:rPr>
      </w:r>
      <w:r>
        <w:rPr>
          <w:rFonts w:ascii="等线" w:hAnsi="等线"/>
          <w:b w:val="0"/>
          <w:sz w:val="21"/>
          <w:highlight w:val="yellow"/>
        </w:rPr>
        <w:t>[公司名称]</w:t>
      </w:r>
      <w:r>
        <w:rPr>
          <w:rFonts w:ascii="等线" w:hAnsi="等线"/>
          <w:b w:val="0"/>
          <w:sz w:val="21"/>
        </w:rPr>
        <w:t>成立于</w:t>
      </w:r>
      <w:r>
        <w:rPr>
          <w:rFonts w:ascii="等线" w:hAnsi="等线"/>
          <w:b w:val="0"/>
          <w:sz w:val="21"/>
          <w:highlight w:val="yellow"/>
        </w:rPr>
        <w:t>[成立年份]</w:t>
      </w:r>
      <w:r>
        <w:rPr>
          <w:rFonts w:ascii="等线" w:hAnsi="等线"/>
          <w:b w:val="0"/>
          <w:sz w:val="21"/>
        </w:rPr>
        <w:t>，是一家专注于汽车零部件研发、生产和销售的大型民营企业。公司总部位于</w:t>
      </w:r>
      <w:r>
        <w:rPr>
          <w:rFonts w:ascii="等线" w:hAnsi="等线"/>
          <w:b w:val="0"/>
          <w:sz w:val="21"/>
          <w:highlight w:val="yellow"/>
        </w:rPr>
        <w:t>[总部所在地]</w:t>
      </w:r>
      <w:r>
        <w:rPr>
          <w:rFonts w:ascii="等线" w:hAnsi="等线"/>
          <w:b w:val="0"/>
          <w:sz w:val="21"/>
        </w:rPr>
        <w:t>，在全球范围内拥有多个生产基地和研发中心。</w:t>
      </w:r>
    </w:p>
    <w:p>
      <w:pPr>
        <w:jc w:val="left"/>
      </w:pPr>
      <w:r>
        <w:rPr>
          <w:rFonts w:ascii="等线" w:hAnsi="等线"/>
          <w:b w:val="0"/>
          <w:sz w:val="21"/>
        </w:rPr>
        <w:t>1. 公司规模- 员工人数：截至</w:t>
      </w:r>
      <w:r>
        <w:rPr>
          <w:rFonts w:ascii="等线" w:hAnsi="等线"/>
          <w:b w:val="0"/>
          <w:sz w:val="21"/>
          <w:highlight w:val="yellow"/>
        </w:rPr>
        <w:t>[报告期末]</w:t>
      </w:r>
      <w:r>
        <w:rPr>
          <w:rFonts w:ascii="等线" w:hAnsi="等线"/>
          <w:b w:val="0"/>
          <w:sz w:val="21"/>
        </w:rPr>
        <w:t>，公司拥有员工</w:t>
      </w:r>
      <w:r>
        <w:rPr>
          <w:rFonts w:ascii="等线" w:hAnsi="等线"/>
          <w:b w:val="0"/>
          <w:sz w:val="21"/>
          <w:highlight w:val="yellow"/>
        </w:rPr>
        <w:t>[具体人数]</w:t>
      </w:r>
      <w:r>
        <w:rPr>
          <w:rFonts w:ascii="等线" w:hAnsi="等线"/>
          <w:b w:val="0"/>
          <w:sz w:val="21"/>
        </w:rPr>
        <w:t>人。- 销售额：</w:t>
      </w:r>
      <w:r>
        <w:rPr>
          <w:rFonts w:ascii="等线" w:hAnsi="等线"/>
          <w:b w:val="0"/>
          <w:sz w:val="21"/>
          <w:highlight w:val="yellow"/>
        </w:rPr>
        <w:t>[报告期内]</w:t>
      </w:r>
      <w:r>
        <w:rPr>
          <w:rFonts w:ascii="等线" w:hAnsi="等线"/>
          <w:b w:val="0"/>
          <w:sz w:val="21"/>
        </w:rPr>
        <w:t>，公司实现销售额</w:t>
      </w:r>
      <w:r>
        <w:rPr>
          <w:rFonts w:ascii="等线" w:hAnsi="等线"/>
          <w:b w:val="0"/>
          <w:sz w:val="21"/>
          <w:highlight w:val="yellow"/>
        </w:rPr>
        <w:t>[具体金额]</w:t>
      </w:r>
      <w:r>
        <w:rPr>
          <w:rFonts w:ascii="等线" w:hAnsi="等线"/>
          <w:b w:val="0"/>
          <w:sz w:val="21"/>
        </w:rPr>
        <w:t>美元。- 市场份额：在国际市场上，公司的产品占据了</w:t>
      </w:r>
      <w:r>
        <w:rPr>
          <w:rFonts w:ascii="等线" w:hAnsi="等线"/>
          <w:b w:val="0"/>
          <w:sz w:val="21"/>
          <w:highlight w:val="yellow"/>
        </w:rPr>
        <w:t>[具体市场份额]</w:t>
      </w:r>
      <w:r>
        <w:rPr>
          <w:rFonts w:ascii="等线" w:hAnsi="等线"/>
          <w:b w:val="0"/>
          <w:sz w:val="21"/>
        </w:rPr>
        <w:t>%的份额。</w:t>
      </w:r>
    </w:p>
    <w:p>
      <w:pPr>
        <w:jc w:val="left"/>
      </w:pPr>
      <w:r>
        <w:rPr>
          <w:rFonts w:ascii="等线" w:hAnsi="等线"/>
          <w:b w:val="0"/>
          <w:sz w:val="21"/>
        </w:rPr>
        <w:t>2. 公司业务- 产品范围：公司的产品涵盖了汽车发动机、底盘、车身、电子等多个领域，包括</w:t>
      </w:r>
      <w:r>
        <w:rPr>
          <w:rFonts w:ascii="等线" w:hAnsi="等线"/>
          <w:b w:val="0"/>
          <w:sz w:val="21"/>
          <w:highlight w:val="yellow"/>
        </w:rPr>
        <w:t>[列举主要产品]</w:t>
      </w:r>
      <w:r>
        <w:rPr>
          <w:rFonts w:ascii="等线" w:hAnsi="等线"/>
          <w:b w:val="0"/>
          <w:sz w:val="21"/>
        </w:rPr>
        <w:t>等。- 客户群体：公司的客户包括了全球知名的汽车制造商，如</w:t>
      </w:r>
      <w:r>
        <w:rPr>
          <w:rFonts w:ascii="等线" w:hAnsi="等线"/>
          <w:b w:val="0"/>
          <w:sz w:val="21"/>
          <w:highlight w:val="yellow"/>
        </w:rPr>
        <w:t>[列举主要客户]</w:t>
      </w:r>
      <w:r>
        <w:rPr>
          <w:rFonts w:ascii="等线" w:hAnsi="等线"/>
          <w:b w:val="0"/>
          <w:sz w:val="21"/>
        </w:rPr>
        <w:t>等。</w:t>
      </w:r>
    </w:p>
    <w:p>
      <w:pPr>
        <w:jc w:val="left"/>
      </w:pPr>
      <w:r>
        <w:rPr>
          <w:rFonts w:ascii="等线" w:hAnsi="等线"/>
          <w:b w:val="0"/>
          <w:sz w:val="21"/>
        </w:rPr>
        <w:t>3. 公司治理- 董事会结构：公司董事会由</w:t>
      </w:r>
      <w:r>
        <w:rPr>
          <w:rFonts w:ascii="等线" w:hAnsi="等线"/>
          <w:b w:val="0"/>
          <w:sz w:val="21"/>
          <w:highlight w:val="yellow"/>
        </w:rPr>
        <w:t>[具体人数]</w:t>
      </w:r>
      <w:r>
        <w:rPr>
          <w:rFonts w:ascii="等线" w:hAnsi="等线"/>
          <w:b w:val="0"/>
          <w:sz w:val="21"/>
        </w:rPr>
        <w:t>名董事组成，其中包括</w:t>
      </w:r>
      <w:r>
        <w:rPr>
          <w:rFonts w:ascii="等线" w:hAnsi="等线"/>
          <w:b w:val="0"/>
          <w:sz w:val="21"/>
          <w:highlight w:val="yellow"/>
        </w:rPr>
        <w:t>[独立董事人数]</w:t>
      </w:r>
      <w:r>
        <w:rPr>
          <w:rFonts w:ascii="等线" w:hAnsi="等线"/>
          <w:b w:val="0"/>
          <w:sz w:val="21"/>
        </w:rPr>
        <w:t>名独立董事。- 管理层团队：公司的管理层团队由具有丰富行业经验的专业人士组成，他们在公司的战略规划、运营管理、市场营销等方面发挥着重要作用。</w:t>
      </w:r>
    </w:p>
    <w:p>
      <w:pPr>
        <w:jc w:val="left"/>
      </w:pPr>
      <w:r>
        <w:rPr>
          <w:rFonts w:ascii="等线" w:hAnsi="等线"/>
          <w:b w:val="0"/>
          <w:sz w:val="21"/>
        </w:rPr>
        <w:t>4. 公司战略- 长期目标：公司的长期目标是成为全球领先的汽车零部件供应商，为客户提供高品质、高性能的产品和服务。- 战略举措：为了实现长期目标，公司采取了一系列战略举措，包括加强研发投入、提高生产效率、拓展市场份额、加强供应链管理等。</w:t>
      </w:r>
    </w:p>
    <w:p>
      <w:pPr>
        <w:jc w:val="left"/>
      </w:pPr>
      <w:r>
        <w:rPr>
          <w:rFonts w:ascii="等线" w:hAnsi="等线"/>
          <w:b w:val="0"/>
          <w:sz w:val="21"/>
        </w:rPr>
        <w:t>5. 公司文化- 核心价值观：公司的核心价值观是</w:t>
      </w:r>
      <w:r>
        <w:rPr>
          <w:rFonts w:ascii="等线" w:hAnsi="等线"/>
          <w:b w:val="0"/>
          <w:sz w:val="21"/>
          <w:highlight w:val="yellow"/>
        </w:rPr>
        <w:t>[列举核心价值观]</w:t>
      </w:r>
      <w:r>
        <w:rPr>
          <w:rFonts w:ascii="等线" w:hAnsi="等线"/>
          <w:b w:val="0"/>
          <w:sz w:val="21"/>
        </w:rPr>
        <w:t>，这些价值观贯穿于公司的经营管理活动中，是公司发展的重要支撑。- 企业社会责任：公司积极履行企业社会责任，关注环境保护、员工福利、社区发展等问题，努力为社会做出贡献。</w:t>
      </w:r>
    </w:p>
    <w:p>
      <w:pPr>
        <w:jc w:val="left"/>
      </w:pPr>
      <w:r>
        <w:rPr>
          <w:rFonts w:ascii="等线" w:hAnsi="等线"/>
          <w:b w:val="0"/>
          <w:sz w:val="21"/>
        </w:rPr>
        <w:t>以上是公司概况的主要内容，通过这些信息，投资者和其他利益相关者可以更好地了解公司的基本情况、业务范围、治理结构、战略规划和企业文化等方面的信息，从而做出更加明智的投资决策。</w:t>
      </w:r>
    </w:p>
    <w:p>
      <w:r>
        <w:br w:type="page"/>
      </w:r>
    </w:p>
    <w:p>
      <w:pPr>
        <w:pStyle w:val="Heading1"/>
      </w:pPr>
      <w:r>
        <w:rPr>
          <w:rFonts w:ascii="等线" w:hAnsi="等线" w:eastAsia="等线"/>
          <w:color w:val="000000"/>
          <w:sz w:val="44"/>
        </w:rPr>
        <w:t>经济表现</w:t>
      </w:r>
    </w:p>
    <w:p>
      <w:pPr>
        <w:jc w:val="left"/>
      </w:pPr>
      <w:r>
        <w:rPr>
          <w:rFonts w:ascii="等线" w:hAnsi="等线"/>
          <w:b w:val="0"/>
          <w:sz w:val="21"/>
        </w:rPr>
        <w:t>以下是一个面向国际市场的大型民营汽车零部件企业 ESG 报告中经济表现的内容模板：</w:t>
      </w:r>
    </w:p>
    <w:p>
      <w:pPr>
        <w:jc w:val="left"/>
      </w:pPr>
      <w:r>
        <w:rPr>
          <w:rFonts w:ascii="等线" w:hAnsi="等线"/>
          <w:b w:val="0"/>
          <w:sz w:val="21"/>
        </w:rPr>
        <w:t>经济表现</w:t>
      </w:r>
    </w:p>
    <w:p>
      <w:pPr>
        <w:jc w:val="left"/>
      </w:pPr>
      <w:r>
        <w:rPr>
          <w:rFonts w:ascii="等线" w:hAnsi="等线"/>
          <w:b w:val="0"/>
          <w:sz w:val="21"/>
        </w:rPr>
        <w:t>1. 市场占有率：</w:t>
      </w:r>
    </w:p>
    <w:p>
      <w:pPr>
        <w:ind w:left="480"/>
        <w:jc w:val="left"/>
      </w:pPr>
      <w:r>
        <w:rPr>
          <w:rFonts w:ascii="等线" w:hAnsi="等线"/>
          <w:b w:val="0"/>
          <w:sz w:val="21"/>
        </w:rPr>
        <w:t>◦ 在过去的</w:t>
      </w:r>
      <w:r>
        <w:rPr>
          <w:rFonts w:ascii="等线" w:hAnsi="等线"/>
          <w:b w:val="0"/>
          <w:sz w:val="21"/>
          <w:highlight w:val="yellow"/>
        </w:rPr>
        <w:t>[具体时间段]</w:t>
      </w:r>
      <w:r>
        <w:rPr>
          <w:rFonts w:ascii="等线" w:hAnsi="等线"/>
          <w:b w:val="0"/>
          <w:sz w:val="21"/>
        </w:rPr>
        <w:t>内，公司在国际市场上的汽车零部件市场占有率稳步增长。根据市场研究机构的数据，我们的市场份额从</w:t>
      </w:r>
      <w:r>
        <w:rPr>
          <w:rFonts w:ascii="等线" w:hAnsi="等线"/>
          <w:b w:val="0"/>
          <w:sz w:val="21"/>
          <w:highlight w:val="yellow"/>
        </w:rPr>
        <w:t>[具体年份]</w:t>
      </w:r>
      <w:r>
        <w:rPr>
          <w:rFonts w:ascii="等线" w:hAnsi="等线"/>
          <w:b w:val="0"/>
          <w:sz w:val="21"/>
        </w:rPr>
        <w:t>的</w:t>
      </w:r>
      <w:r>
        <w:rPr>
          <w:rFonts w:ascii="等线" w:hAnsi="等线"/>
          <w:b w:val="0"/>
          <w:sz w:val="21"/>
          <w:highlight w:val="yellow"/>
        </w:rPr>
        <w:t>[X]</w:t>
      </w:r>
      <w:r>
        <w:rPr>
          <w:rFonts w:ascii="等线" w:hAnsi="等线"/>
          <w:b w:val="0"/>
          <w:sz w:val="21"/>
        </w:rPr>
        <w:t>%增长到了</w:t>
      </w:r>
      <w:r>
        <w:rPr>
          <w:rFonts w:ascii="等线" w:hAnsi="等线"/>
          <w:b w:val="0"/>
          <w:sz w:val="21"/>
          <w:highlight w:val="yellow"/>
        </w:rPr>
        <w:t>[具体年份]</w:t>
      </w:r>
      <w:r>
        <w:rPr>
          <w:rFonts w:ascii="等线" w:hAnsi="等线"/>
          <w:b w:val="0"/>
          <w:sz w:val="21"/>
        </w:rPr>
        <w:t>的</w:t>
      </w:r>
      <w:r>
        <w:rPr>
          <w:rFonts w:ascii="等线" w:hAnsi="等线"/>
          <w:b w:val="0"/>
          <w:sz w:val="21"/>
          <w:highlight w:val="yellow"/>
        </w:rPr>
        <w:t>[X]</w:t>
      </w:r>
      <w:r>
        <w:rPr>
          <w:rFonts w:ascii="等线" w:hAnsi="等线"/>
          <w:b w:val="0"/>
          <w:sz w:val="21"/>
        </w:rPr>
        <w:t>%，这表明我们在行业中的竞争力不断提升。</w:t>
      </w:r>
    </w:p>
    <w:p>
      <w:pPr>
        <w:ind w:left="480"/>
        <w:jc w:val="left"/>
      </w:pPr>
      <w:r>
        <w:rPr>
          <w:rFonts w:ascii="等线" w:hAnsi="等线"/>
          <w:b w:val="0"/>
          <w:sz w:val="21"/>
        </w:rPr>
        <w:t>◦ 我们通过不断创新和优化产品组合，满足了客户对高品质、高性能零部件的需求，从而赢得了更多的市场份额。</w:t>
      </w:r>
    </w:p>
    <w:p>
      <w:pPr>
        <w:jc w:val="left"/>
      </w:pPr>
      <w:r>
        <w:rPr>
          <w:rFonts w:ascii="等线" w:hAnsi="等线"/>
          <w:b w:val="0"/>
          <w:sz w:val="21"/>
        </w:rPr>
        <w:t>2. 营业收入：</w:t>
      </w:r>
    </w:p>
    <w:p>
      <w:pPr>
        <w:ind w:left="480"/>
        <w:jc w:val="left"/>
      </w:pPr>
      <w:r>
        <w:rPr>
          <w:rFonts w:ascii="等线" w:hAnsi="等线"/>
          <w:b w:val="0"/>
          <w:sz w:val="21"/>
        </w:rPr>
        <w:t>◦ 在过去的</w:t>
      </w:r>
      <w:r>
        <w:rPr>
          <w:rFonts w:ascii="等线" w:hAnsi="等线"/>
          <w:b w:val="0"/>
          <w:sz w:val="21"/>
          <w:highlight w:val="yellow"/>
        </w:rPr>
        <w:t>[具体时间段]</w:t>
      </w:r>
      <w:r>
        <w:rPr>
          <w:rFonts w:ascii="等线" w:hAnsi="等线"/>
          <w:b w:val="0"/>
          <w:sz w:val="21"/>
        </w:rPr>
        <w:t>内，公司的营业收入持续增长。从</w:t>
      </w:r>
      <w:r>
        <w:rPr>
          <w:rFonts w:ascii="等线" w:hAnsi="等线"/>
          <w:b w:val="0"/>
          <w:sz w:val="21"/>
          <w:highlight w:val="yellow"/>
        </w:rPr>
        <w:t>[具体年份]</w:t>
      </w:r>
      <w:r>
        <w:rPr>
          <w:rFonts w:ascii="等线" w:hAnsi="等线"/>
          <w:b w:val="0"/>
          <w:sz w:val="21"/>
        </w:rPr>
        <w:t>的</w:t>
      </w:r>
      <w:r>
        <w:rPr>
          <w:rFonts w:ascii="等线" w:hAnsi="等线"/>
          <w:b w:val="0"/>
          <w:sz w:val="21"/>
          <w:highlight w:val="yellow"/>
        </w:rPr>
        <w:t>[X]</w:t>
      </w:r>
      <w:r>
        <w:rPr>
          <w:rFonts w:ascii="等线" w:hAnsi="等线"/>
          <w:b w:val="0"/>
          <w:sz w:val="21"/>
        </w:rPr>
        <w:t>亿元增长到了</w:t>
      </w:r>
      <w:r>
        <w:rPr>
          <w:rFonts w:ascii="等线" w:hAnsi="等线"/>
          <w:b w:val="0"/>
          <w:sz w:val="21"/>
          <w:highlight w:val="yellow"/>
        </w:rPr>
        <w:t>[具体年份]</w:t>
      </w:r>
      <w:r>
        <w:rPr>
          <w:rFonts w:ascii="等线" w:hAnsi="等线"/>
          <w:b w:val="0"/>
          <w:sz w:val="21"/>
        </w:rPr>
        <w:t>的</w:t>
      </w:r>
      <w:r>
        <w:rPr>
          <w:rFonts w:ascii="等线" w:hAnsi="等线"/>
          <w:b w:val="0"/>
          <w:sz w:val="21"/>
          <w:highlight w:val="yellow"/>
        </w:rPr>
        <w:t>[X]</w:t>
      </w:r>
      <w:r>
        <w:rPr>
          <w:rFonts w:ascii="等线" w:hAnsi="等线"/>
          <w:b w:val="0"/>
          <w:sz w:val="21"/>
        </w:rPr>
        <w:t>亿元，年复合增长率达到了</w:t>
      </w:r>
      <w:r>
        <w:rPr>
          <w:rFonts w:ascii="等线" w:hAnsi="等线"/>
          <w:b w:val="0"/>
          <w:sz w:val="21"/>
          <w:highlight w:val="yellow"/>
        </w:rPr>
        <w:t>[X]</w:t>
      </w:r>
      <w:r>
        <w:rPr>
          <w:rFonts w:ascii="等线" w:hAnsi="等线"/>
          <w:b w:val="0"/>
          <w:sz w:val="21"/>
        </w:rPr>
        <w:t>%。这主要得益于我们不断扩大市场份额、推出新产品以及优化供应链管理等措施。</w:t>
      </w:r>
    </w:p>
    <w:p>
      <w:pPr>
        <w:ind w:left="480"/>
        <w:jc w:val="left"/>
      </w:pPr>
      <w:r>
        <w:rPr>
          <w:rFonts w:ascii="等线" w:hAnsi="等线"/>
          <w:b w:val="0"/>
          <w:sz w:val="21"/>
        </w:rPr>
        <w:t>◦ 我们的产品涵盖了汽车发动机、底盘、电子系统等多个领域，广泛应用于乘用车、商用车等各类车型。我们的客户包括了国际知名汽车制造商和零部件供应商，与他们建立了长期稳定的合作关系。</w:t>
      </w:r>
    </w:p>
    <w:p>
      <w:pPr>
        <w:jc w:val="left"/>
      </w:pPr>
      <w:r>
        <w:rPr>
          <w:rFonts w:ascii="等线" w:hAnsi="等线"/>
          <w:b w:val="0"/>
          <w:sz w:val="21"/>
        </w:rPr>
        <w:t>3. 营业成本：</w:t>
      </w:r>
    </w:p>
    <w:p>
      <w:pPr>
        <w:ind w:left="480"/>
        <w:jc w:val="left"/>
      </w:pPr>
      <w:r>
        <w:rPr>
          <w:rFonts w:ascii="等线" w:hAnsi="等线"/>
          <w:b w:val="0"/>
          <w:sz w:val="21"/>
        </w:rPr>
        <w:t>◦ 在过去的</w:t>
      </w:r>
      <w:r>
        <w:rPr>
          <w:rFonts w:ascii="等线" w:hAnsi="等线"/>
          <w:b w:val="0"/>
          <w:sz w:val="21"/>
          <w:highlight w:val="yellow"/>
        </w:rPr>
        <w:t>[具体时间段]</w:t>
      </w:r>
      <w:r>
        <w:rPr>
          <w:rFonts w:ascii="等线" w:hAnsi="等线"/>
          <w:b w:val="0"/>
          <w:sz w:val="21"/>
        </w:rPr>
        <w:t>内，公司的营业成本得到了有效控制。通过优化生产流程、提高生产效率、降低原材料采购成本等措施，我们成功地将营业成本从</w:t>
      </w:r>
      <w:r>
        <w:rPr>
          <w:rFonts w:ascii="等线" w:hAnsi="等线"/>
          <w:b w:val="0"/>
          <w:sz w:val="21"/>
          <w:highlight w:val="yellow"/>
        </w:rPr>
        <w:t>[具体年份]</w:t>
      </w:r>
      <w:r>
        <w:rPr>
          <w:rFonts w:ascii="等线" w:hAnsi="等线"/>
          <w:b w:val="0"/>
          <w:sz w:val="21"/>
        </w:rPr>
        <w:t>的</w:t>
      </w:r>
      <w:r>
        <w:rPr>
          <w:rFonts w:ascii="等线" w:hAnsi="等线"/>
          <w:b w:val="0"/>
          <w:sz w:val="21"/>
          <w:highlight w:val="yellow"/>
        </w:rPr>
        <w:t>[X]</w:t>
      </w:r>
      <w:r>
        <w:rPr>
          <w:rFonts w:ascii="等线" w:hAnsi="等线"/>
          <w:b w:val="0"/>
          <w:sz w:val="21"/>
        </w:rPr>
        <w:t>亿元降低到了</w:t>
      </w:r>
      <w:r>
        <w:rPr>
          <w:rFonts w:ascii="等线" w:hAnsi="等线"/>
          <w:b w:val="0"/>
          <w:sz w:val="21"/>
          <w:highlight w:val="yellow"/>
        </w:rPr>
        <w:t>[具体年份]</w:t>
      </w:r>
      <w:r>
        <w:rPr>
          <w:rFonts w:ascii="等线" w:hAnsi="等线"/>
          <w:b w:val="0"/>
          <w:sz w:val="21"/>
        </w:rPr>
        <w:t>的</w:t>
      </w:r>
      <w:r>
        <w:rPr>
          <w:rFonts w:ascii="等线" w:hAnsi="等线"/>
          <w:b w:val="0"/>
          <w:sz w:val="21"/>
          <w:highlight w:val="yellow"/>
        </w:rPr>
        <w:t>[X]</w:t>
      </w:r>
      <w:r>
        <w:rPr>
          <w:rFonts w:ascii="等线" w:hAnsi="等线"/>
          <w:b w:val="0"/>
          <w:sz w:val="21"/>
        </w:rPr>
        <w:t>亿元，年复合增长率为</w:t>
      </w:r>
      <w:r>
        <w:rPr>
          <w:rFonts w:ascii="等线" w:hAnsi="等线"/>
          <w:b w:val="0"/>
          <w:sz w:val="21"/>
          <w:highlight w:val="yellow"/>
        </w:rPr>
        <w:t>[X]</w:t>
      </w:r>
      <w:r>
        <w:rPr>
          <w:rFonts w:ascii="等线" w:hAnsi="等线"/>
          <w:b w:val="0"/>
          <w:sz w:val="21"/>
        </w:rPr>
        <w:t>%。</w:t>
      </w:r>
    </w:p>
    <w:p>
      <w:pPr>
        <w:ind w:left="480"/>
        <w:jc w:val="left"/>
      </w:pPr>
      <w:r>
        <w:rPr>
          <w:rFonts w:ascii="等线" w:hAnsi="等线"/>
          <w:b w:val="0"/>
          <w:sz w:val="21"/>
        </w:rPr>
        <w:t>◦ 我们注重成本管理，不断寻找降低成本的机会，同时确保产品质量和服务水平不受影响。这使得我们在市场竞争中具有更强的价格竞争力。</w:t>
      </w:r>
    </w:p>
    <w:p>
      <w:pPr>
        <w:jc w:val="left"/>
      </w:pPr>
      <w:r>
        <w:rPr>
          <w:rFonts w:ascii="等线" w:hAnsi="等线"/>
          <w:b w:val="0"/>
          <w:sz w:val="21"/>
        </w:rPr>
        <w:t>4. 利润总额：</w:t>
      </w:r>
    </w:p>
    <w:p>
      <w:pPr>
        <w:ind w:left="480"/>
        <w:jc w:val="left"/>
      </w:pPr>
      <w:r>
        <w:rPr>
          <w:rFonts w:ascii="等线" w:hAnsi="等线"/>
          <w:b w:val="0"/>
          <w:sz w:val="21"/>
        </w:rPr>
        <w:t>◦ 在过去的</w:t>
      </w:r>
      <w:r>
        <w:rPr>
          <w:rFonts w:ascii="等线" w:hAnsi="等线"/>
          <w:b w:val="0"/>
          <w:sz w:val="21"/>
          <w:highlight w:val="yellow"/>
        </w:rPr>
        <w:t>[具体时间段]</w:t>
      </w:r>
      <w:r>
        <w:rPr>
          <w:rFonts w:ascii="等线" w:hAnsi="等线"/>
          <w:b w:val="0"/>
          <w:sz w:val="21"/>
        </w:rPr>
        <w:t>内，公司的利润总额保持了稳定增长。从</w:t>
      </w:r>
      <w:r>
        <w:rPr>
          <w:rFonts w:ascii="等线" w:hAnsi="等线"/>
          <w:b w:val="0"/>
          <w:sz w:val="21"/>
          <w:highlight w:val="yellow"/>
        </w:rPr>
        <w:t>[具体年份]</w:t>
      </w:r>
      <w:r>
        <w:rPr>
          <w:rFonts w:ascii="等线" w:hAnsi="等线"/>
          <w:b w:val="0"/>
          <w:sz w:val="21"/>
        </w:rPr>
        <w:t>的</w:t>
      </w:r>
      <w:r>
        <w:rPr>
          <w:rFonts w:ascii="等线" w:hAnsi="等线"/>
          <w:b w:val="0"/>
          <w:sz w:val="21"/>
          <w:highlight w:val="yellow"/>
        </w:rPr>
        <w:t>[X]</w:t>
      </w:r>
      <w:r>
        <w:rPr>
          <w:rFonts w:ascii="等线" w:hAnsi="等线"/>
          <w:b w:val="0"/>
          <w:sz w:val="21"/>
        </w:rPr>
        <w:t>亿元增长到了</w:t>
      </w:r>
      <w:r>
        <w:rPr>
          <w:rFonts w:ascii="等线" w:hAnsi="等线"/>
          <w:b w:val="0"/>
          <w:sz w:val="21"/>
          <w:highlight w:val="yellow"/>
        </w:rPr>
        <w:t>[具体年份]</w:t>
      </w:r>
      <w:r>
        <w:rPr>
          <w:rFonts w:ascii="等线" w:hAnsi="等线"/>
          <w:b w:val="0"/>
          <w:sz w:val="21"/>
        </w:rPr>
        <w:t>的</w:t>
      </w:r>
      <w:r>
        <w:rPr>
          <w:rFonts w:ascii="等线" w:hAnsi="等线"/>
          <w:b w:val="0"/>
          <w:sz w:val="21"/>
          <w:highlight w:val="yellow"/>
        </w:rPr>
        <w:t>[X]</w:t>
      </w:r>
      <w:r>
        <w:rPr>
          <w:rFonts w:ascii="等线" w:hAnsi="等线"/>
          <w:b w:val="0"/>
          <w:sz w:val="21"/>
        </w:rPr>
        <w:t>亿元，年复合增长率为</w:t>
      </w:r>
      <w:r>
        <w:rPr>
          <w:rFonts w:ascii="等线" w:hAnsi="等线"/>
          <w:b w:val="0"/>
          <w:sz w:val="21"/>
          <w:highlight w:val="yellow"/>
        </w:rPr>
        <w:t>[X]</w:t>
      </w:r>
      <w:r>
        <w:rPr>
          <w:rFonts w:ascii="等线" w:hAnsi="等线"/>
          <w:b w:val="0"/>
          <w:sz w:val="21"/>
        </w:rPr>
        <w:t>%。这主要得益于我们不断提高营业收入和有效控制营业成本。</w:t>
      </w:r>
    </w:p>
    <w:p>
      <w:pPr>
        <w:ind w:left="480"/>
        <w:jc w:val="left"/>
      </w:pPr>
      <w:r>
        <w:rPr>
          <w:rFonts w:ascii="等线" w:hAnsi="等线"/>
          <w:b w:val="0"/>
          <w:sz w:val="21"/>
        </w:rPr>
        <w:t>◦ 我们的盈利能力在行业中处于领先地位，这为我们的可持续发展提供了坚实的财务基础。</w:t>
      </w:r>
    </w:p>
    <w:p>
      <w:pPr>
        <w:jc w:val="left"/>
      </w:pPr>
      <w:r>
        <w:rPr>
          <w:rFonts w:ascii="等线" w:hAnsi="等线"/>
          <w:b w:val="0"/>
          <w:sz w:val="21"/>
        </w:rPr>
        <w:t>5. 净利润：</w:t>
      </w:r>
    </w:p>
    <w:p>
      <w:pPr>
        <w:ind w:left="480"/>
        <w:jc w:val="left"/>
      </w:pPr>
      <w:r>
        <w:rPr>
          <w:rFonts w:ascii="等线" w:hAnsi="等线"/>
          <w:b w:val="0"/>
          <w:sz w:val="21"/>
        </w:rPr>
        <w:t>◦ 在过去的</w:t>
      </w:r>
      <w:r>
        <w:rPr>
          <w:rFonts w:ascii="等线" w:hAnsi="等线"/>
          <w:b w:val="0"/>
          <w:sz w:val="21"/>
          <w:highlight w:val="yellow"/>
        </w:rPr>
        <w:t>[具体时间段]</w:t>
      </w:r>
      <w:r>
        <w:rPr>
          <w:rFonts w:ascii="等线" w:hAnsi="等线"/>
          <w:b w:val="0"/>
          <w:sz w:val="21"/>
        </w:rPr>
        <w:t>内，公司的净利润也实现了稳步增长。从</w:t>
      </w:r>
      <w:r>
        <w:rPr>
          <w:rFonts w:ascii="等线" w:hAnsi="等线"/>
          <w:b w:val="0"/>
          <w:sz w:val="21"/>
          <w:highlight w:val="yellow"/>
        </w:rPr>
        <w:t>[具体年份]</w:t>
      </w:r>
      <w:r>
        <w:rPr>
          <w:rFonts w:ascii="等线" w:hAnsi="等线"/>
          <w:b w:val="0"/>
          <w:sz w:val="21"/>
        </w:rPr>
        <w:t>的</w:t>
      </w:r>
      <w:r>
        <w:rPr>
          <w:rFonts w:ascii="等线" w:hAnsi="等线"/>
          <w:b w:val="0"/>
          <w:sz w:val="21"/>
          <w:highlight w:val="yellow"/>
        </w:rPr>
        <w:t>[X]</w:t>
      </w:r>
      <w:r>
        <w:rPr>
          <w:rFonts w:ascii="等线" w:hAnsi="等线"/>
          <w:b w:val="0"/>
          <w:sz w:val="21"/>
        </w:rPr>
        <w:t>亿元增长到了</w:t>
      </w:r>
      <w:r>
        <w:rPr>
          <w:rFonts w:ascii="等线" w:hAnsi="等线"/>
          <w:b w:val="0"/>
          <w:sz w:val="21"/>
          <w:highlight w:val="yellow"/>
        </w:rPr>
        <w:t>[具体年份]</w:t>
      </w:r>
      <w:r>
        <w:rPr>
          <w:rFonts w:ascii="等线" w:hAnsi="等线"/>
          <w:b w:val="0"/>
          <w:sz w:val="21"/>
        </w:rPr>
        <w:t>的</w:t>
      </w:r>
      <w:r>
        <w:rPr>
          <w:rFonts w:ascii="等线" w:hAnsi="等线"/>
          <w:b w:val="0"/>
          <w:sz w:val="21"/>
          <w:highlight w:val="yellow"/>
        </w:rPr>
        <w:t>[X]</w:t>
      </w:r>
      <w:r>
        <w:rPr>
          <w:rFonts w:ascii="等线" w:hAnsi="等线"/>
          <w:b w:val="0"/>
          <w:sz w:val="21"/>
        </w:rPr>
        <w:t>亿元，年复合增长率为</w:t>
      </w:r>
      <w:r>
        <w:rPr>
          <w:rFonts w:ascii="等线" w:hAnsi="等线"/>
          <w:b w:val="0"/>
          <w:sz w:val="21"/>
          <w:highlight w:val="yellow"/>
        </w:rPr>
        <w:t>[X]</w:t>
      </w:r>
      <w:r>
        <w:rPr>
          <w:rFonts w:ascii="等线" w:hAnsi="等线"/>
          <w:b w:val="0"/>
          <w:sz w:val="21"/>
        </w:rPr>
        <w:t>%。净利润的增长反映了公司在经营管理方面的高效和盈利能力的提升。</w:t>
      </w:r>
    </w:p>
    <w:p>
      <w:pPr>
        <w:ind w:left="480"/>
        <w:jc w:val="left"/>
      </w:pPr>
      <w:r>
        <w:rPr>
          <w:rFonts w:ascii="等线" w:hAnsi="等线"/>
          <w:b w:val="0"/>
          <w:sz w:val="21"/>
        </w:rPr>
        <w:t>◦ 我们将继续努力提高净利润水平，为股东创造更大的价值。</w:t>
      </w:r>
    </w:p>
    <w:p>
      <w:pPr>
        <w:jc w:val="left"/>
      </w:pPr>
      <w:r>
        <w:rPr>
          <w:rFonts w:ascii="等线" w:hAnsi="等线"/>
          <w:b w:val="0"/>
          <w:sz w:val="21"/>
        </w:rPr>
        <w:t>6. 财务状况：</w:t>
      </w:r>
    </w:p>
    <w:p>
      <w:pPr>
        <w:ind w:left="480"/>
        <w:jc w:val="left"/>
      </w:pPr>
      <w:r>
        <w:rPr>
          <w:rFonts w:ascii="等线" w:hAnsi="等线"/>
          <w:b w:val="0"/>
          <w:sz w:val="21"/>
        </w:rPr>
        <w:t>◦ 截至</w:t>
      </w:r>
      <w:r>
        <w:rPr>
          <w:rFonts w:ascii="等线" w:hAnsi="等线"/>
          <w:b w:val="0"/>
          <w:sz w:val="21"/>
          <w:highlight w:val="yellow"/>
        </w:rPr>
        <w:t>[具体年份]</w:t>
      </w:r>
      <w:r>
        <w:rPr>
          <w:rFonts w:ascii="等线" w:hAnsi="等线"/>
          <w:b w:val="0"/>
          <w:sz w:val="21"/>
        </w:rPr>
        <w:t>年底，公司的资产总额为</w:t>
      </w:r>
      <w:r>
        <w:rPr>
          <w:rFonts w:ascii="等线" w:hAnsi="等线"/>
          <w:b w:val="0"/>
          <w:sz w:val="21"/>
          <w:highlight w:val="yellow"/>
        </w:rPr>
        <w:t>[X]</w:t>
      </w:r>
      <w:r>
        <w:rPr>
          <w:rFonts w:ascii="等线" w:hAnsi="等线"/>
          <w:b w:val="0"/>
          <w:sz w:val="21"/>
        </w:rPr>
        <w:t>亿元，负债总额为</w:t>
      </w:r>
      <w:r>
        <w:rPr>
          <w:rFonts w:ascii="等线" w:hAnsi="等线"/>
          <w:b w:val="0"/>
          <w:sz w:val="21"/>
          <w:highlight w:val="yellow"/>
        </w:rPr>
        <w:t>[X]</w:t>
      </w:r>
      <w:r>
        <w:rPr>
          <w:rFonts w:ascii="等线" w:hAnsi="等线"/>
          <w:b w:val="0"/>
          <w:sz w:val="21"/>
        </w:rPr>
        <w:t>亿元，所有者权益为</w:t>
      </w:r>
      <w:r>
        <w:rPr>
          <w:rFonts w:ascii="等线" w:hAnsi="等线"/>
          <w:b w:val="0"/>
          <w:sz w:val="21"/>
          <w:highlight w:val="yellow"/>
        </w:rPr>
        <w:t>[X]</w:t>
      </w:r>
      <w:r>
        <w:rPr>
          <w:rFonts w:ascii="等线" w:hAnsi="等线"/>
          <w:b w:val="0"/>
          <w:sz w:val="21"/>
        </w:rPr>
        <w:t>亿元。资产负债率为</w:t>
      </w:r>
      <w:r>
        <w:rPr>
          <w:rFonts w:ascii="等线" w:hAnsi="等线"/>
          <w:b w:val="0"/>
          <w:sz w:val="21"/>
          <w:highlight w:val="yellow"/>
        </w:rPr>
        <w:t>[X]</w:t>
      </w:r>
      <w:r>
        <w:rPr>
          <w:rFonts w:ascii="等线" w:hAnsi="等线"/>
          <w:b w:val="0"/>
          <w:sz w:val="21"/>
        </w:rPr>
        <w:t>%，处于合理水平。</w:t>
      </w:r>
    </w:p>
    <w:p>
      <w:pPr>
        <w:ind w:left="480"/>
        <w:jc w:val="left"/>
      </w:pPr>
      <w:r>
        <w:rPr>
          <w:rFonts w:ascii="等线" w:hAnsi="等线"/>
          <w:b w:val="0"/>
          <w:sz w:val="21"/>
        </w:rPr>
        <w:t>◦ 我们的财务状况稳健，具备良好的偿债能力和资金周转能力，能够为公司的发展提供有力的支持。</w:t>
      </w:r>
    </w:p>
    <w:p>
      <w:pPr>
        <w:jc w:val="left"/>
      </w:pPr>
      <w:r>
        <w:rPr>
          <w:rFonts w:ascii="等线" w:hAnsi="等线"/>
          <w:b w:val="0"/>
          <w:sz w:val="21"/>
        </w:rPr>
        <w:t>7. 投资与发展：</w:t>
      </w:r>
    </w:p>
    <w:p>
      <w:pPr>
        <w:ind w:left="480"/>
        <w:jc w:val="left"/>
      </w:pPr>
      <w:r>
        <w:rPr>
          <w:rFonts w:ascii="等线" w:hAnsi="等线"/>
          <w:b w:val="0"/>
          <w:sz w:val="21"/>
        </w:rPr>
        <w:t>◦ 在过去的</w:t>
      </w:r>
      <w:r>
        <w:rPr>
          <w:rFonts w:ascii="等线" w:hAnsi="等线"/>
          <w:b w:val="0"/>
          <w:sz w:val="21"/>
          <w:highlight w:val="yellow"/>
        </w:rPr>
        <w:t>[具体时间段]</w:t>
      </w:r>
      <w:r>
        <w:rPr>
          <w:rFonts w:ascii="等线" w:hAnsi="等线"/>
          <w:b w:val="0"/>
          <w:sz w:val="21"/>
        </w:rPr>
        <w:t>内，公司积极进行投资和发展，不断扩大生产规模和提升技术水平。我们投资了</w:t>
      </w:r>
      <w:r>
        <w:rPr>
          <w:rFonts w:ascii="等线" w:hAnsi="等线"/>
          <w:b w:val="0"/>
          <w:sz w:val="21"/>
          <w:highlight w:val="yellow"/>
        </w:rPr>
        <w:t>[具体金额]</w:t>
      </w:r>
      <w:r>
        <w:rPr>
          <w:rFonts w:ascii="等线" w:hAnsi="等线"/>
          <w:b w:val="0"/>
          <w:sz w:val="21"/>
        </w:rPr>
        <w:t>亿元用于建设新的生产基地和研发中心，以满足市场需求和提高产品竞争力。</w:t>
      </w:r>
    </w:p>
    <w:p>
      <w:pPr>
        <w:ind w:left="480"/>
        <w:jc w:val="left"/>
      </w:pPr>
      <w:r>
        <w:rPr>
          <w:rFonts w:ascii="等线" w:hAnsi="等线"/>
          <w:b w:val="0"/>
          <w:sz w:val="21"/>
        </w:rPr>
        <w:t>◦ 我们还积极开展国际合作，与国际知名企业建立了战略合作伙伴关系，共同开发新技术和新产品，拓展国际市场。</w:t>
      </w:r>
    </w:p>
    <w:p>
      <w:pPr>
        <w:jc w:val="left"/>
      </w:pPr>
      <w:r>
        <w:rPr>
          <w:rFonts w:ascii="等线" w:hAnsi="等线"/>
          <w:b w:val="0"/>
          <w:sz w:val="21"/>
        </w:rPr>
        <w:t>8. 风险管理：</w:t>
      </w:r>
    </w:p>
    <w:p>
      <w:pPr>
        <w:ind w:left="480"/>
        <w:jc w:val="left"/>
      </w:pPr>
      <w:r>
        <w:rPr>
          <w:rFonts w:ascii="等线" w:hAnsi="等线"/>
          <w:b w:val="0"/>
          <w:sz w:val="21"/>
        </w:rPr>
        <w:t>◦ 公司高度重视风险管理，建立了完善的风险管理体系。我们通过风险评估、风险预警和风险控制等措施，有效地防范和应对各类风险。</w:t>
      </w:r>
    </w:p>
    <w:p>
      <w:pPr>
        <w:ind w:left="480"/>
        <w:jc w:val="left"/>
      </w:pPr>
      <w:r>
        <w:rPr>
          <w:rFonts w:ascii="等线" w:hAnsi="等线"/>
          <w:b w:val="0"/>
          <w:sz w:val="21"/>
        </w:rPr>
        <w:t>◦ 我们密切关注市场动态、政策法规变化和行业竞争态势，及时调整经营策略，以降低风险对公司的影响。</w:t>
      </w:r>
    </w:p>
    <w:p>
      <w:pPr>
        <w:jc w:val="left"/>
      </w:pPr>
      <w:r>
        <w:rPr>
          <w:rFonts w:ascii="等线" w:hAnsi="等线"/>
          <w:b w:val="0"/>
          <w:sz w:val="21"/>
        </w:rPr>
        <w:t>综上所述，公司在经济方面取得了显著的成绩。我们将继续努力，不断提高市场占有率、营业收入和净利润水平，为股东创造更大的价值。同时，我们也将积极履行社会责任，为可持续发展做出贡献。</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rPr>
                <w:sz w:val="21"/>
              </w:rPr>
              <w:t>绩效指标</w:t>
            </w:r>
          </w:p>
        </w:tc>
        <w:tc>
          <w:tcPr>
            <w:tcW w:type="dxa" w:w="1928"/>
            <w:shd w:fill="f5f2f0"/>
          </w:tcPr>
          <w:p>
            <w:r>
              <w:rPr>
                <w:sz w:val="21"/>
              </w:rPr>
              <w:t>单位</w:t>
            </w:r>
          </w:p>
        </w:tc>
        <w:tc>
          <w:tcPr>
            <w:tcW w:type="dxa" w:w="1928"/>
            <w:shd w:fill="f5f2f0"/>
          </w:tcPr>
          <w:p>
            <w:r>
              <w:rPr>
                <w:sz w:val="21"/>
              </w:rPr>
              <w:t>2021</w:t>
            </w:r>
          </w:p>
        </w:tc>
        <w:tc>
          <w:tcPr>
            <w:tcW w:type="dxa" w:w="1928"/>
            <w:shd w:fill="f5f2f0"/>
          </w:tcPr>
          <w:p>
            <w:r>
              <w:rPr>
                <w:sz w:val="21"/>
              </w:rPr>
              <w:t>2022</w:t>
            </w:r>
          </w:p>
        </w:tc>
        <w:tc>
          <w:tcPr>
            <w:tcW w:type="dxa" w:w="1928"/>
            <w:shd w:fill="f5f2f0"/>
          </w:tcPr>
          <w:p>
            <w:r>
              <w:rPr>
                <w:sz w:val="21"/>
              </w:rPr>
              <w:t>2023</w:t>
            </w:r>
          </w:p>
        </w:tc>
      </w:tr>
      <w:tr>
        <w:tc>
          <w:tcPr>
            <w:tcW w:type="dxa" w:w="1928"/>
          </w:tcPr>
          <w:p>
            <w:r>
              <w:rPr>
                <w:sz w:val="21"/>
              </w:rPr>
              <w:t>年收入</w:t>
            </w:r>
          </w:p>
        </w:tc>
        <w:tc>
          <w:tcPr>
            <w:tcW w:type="dxa" w:w="1928"/>
          </w:tcPr>
          <w:p>
            <w:r>
              <w:rPr>
                <w:sz w:val="21"/>
              </w:rPr>
              <w:t>万元</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年度纳税额</w:t>
            </w:r>
          </w:p>
        </w:tc>
        <w:tc>
          <w:tcPr>
            <w:tcW w:type="dxa" w:w="1928"/>
          </w:tcPr>
          <w:p>
            <w:r>
              <w:rPr>
                <w:sz w:val="21"/>
              </w:rPr>
              <w:t>万元</w:t>
            </w:r>
          </w:p>
        </w:tc>
        <w:tc>
          <w:tcPr>
            <w:tcW w:type="dxa" w:w="1928"/>
          </w:tcPr>
          <w:p>
            <w:r>
              <w:rPr>
                <w:sz w:val="21"/>
              </w:rPr>
            </w:r>
          </w:p>
        </w:tc>
        <w:tc>
          <w:tcPr>
            <w:tcW w:type="dxa" w:w="1928"/>
          </w:tcPr>
          <w:p>
            <w:r>
              <w:rPr>
                <w:sz w:val="21"/>
              </w:rPr>
            </w:r>
          </w:p>
        </w:tc>
        <w:tc>
          <w:tcPr>
            <w:tcW w:type="dxa" w:w="1928"/>
          </w:tcPr>
          <w:p>
            <w:r>
              <w:rPr>
                <w:sz w:val="21"/>
              </w:rPr>
            </w:r>
          </w:p>
        </w:tc>
      </w:tr>
    </w:tbl>
    <w:p>
      <w:r>
        <w:br w:type="page"/>
      </w:r>
    </w:p>
    <w:p>
      <w:pPr>
        <w:pStyle w:val="Heading1"/>
      </w:pPr>
      <w:r>
        <w:rPr>
          <w:rFonts w:ascii="等线" w:hAnsi="等线" w:eastAsia="等线"/>
          <w:color w:val="000000"/>
          <w:sz w:val="44"/>
        </w:rPr>
        <w:t>可持续发展亮点</w:t>
      </w:r>
    </w:p>
    <w:p>
      <w:pPr>
        <w:jc w:val="left"/>
      </w:pPr>
      <w:r>
        <w:rPr>
          <w:rFonts w:ascii="等线" w:hAnsi="等线"/>
          <w:b w:val="0"/>
          <w:sz w:val="21"/>
        </w:rPr>
        <w:t>以下是一个面向国际市场的大型民营汽车零部件企业 ESG 报告中可持续发展亮点的内容模板：</w:t>
      </w:r>
    </w:p>
    <w:p>
      <w:pPr>
        <w:jc w:val="left"/>
      </w:pPr>
      <w:r>
        <w:rPr>
          <w:rFonts w:ascii="等线" w:hAnsi="等线"/>
          <w:b w:val="0"/>
          <w:sz w:val="21"/>
        </w:rPr>
        <w:t>可持续发展亮点</w:t>
      </w:r>
    </w:p>
    <w:p>
      <w:pPr>
        <w:jc w:val="left"/>
      </w:pPr>
      <w:r>
        <w:rPr>
          <w:rFonts w:ascii="等线" w:hAnsi="等线"/>
          <w:b w:val="0"/>
          <w:sz w:val="21"/>
        </w:rPr>
        <w:t>1. 环境管理：</w:t>
      </w:r>
    </w:p>
    <w:p>
      <w:pPr>
        <w:ind w:left="480"/>
        <w:jc w:val="left"/>
      </w:pPr>
      <w:r>
        <w:rPr>
          <w:rFonts w:ascii="等线" w:hAnsi="等线"/>
          <w:b w:val="0"/>
          <w:sz w:val="21"/>
        </w:rPr>
        <w:t>◦ 温室气体减排：通过实施能源管理措施和采用清洁能源，我们成功减少了</w:t>
      </w:r>
      <w:r>
        <w:rPr>
          <w:rFonts w:ascii="等线" w:hAnsi="等线"/>
          <w:b w:val="0"/>
          <w:sz w:val="21"/>
          <w:highlight w:val="yellow"/>
        </w:rPr>
        <w:t>[具体数量]</w:t>
      </w:r>
      <w:r>
        <w:rPr>
          <w:rFonts w:ascii="等线" w:hAnsi="等线"/>
          <w:b w:val="0"/>
          <w:sz w:val="21"/>
        </w:rPr>
        <w:t>吨的二氧化碳排放量。</w:t>
      </w:r>
    </w:p>
    <w:p>
      <w:pPr>
        <w:ind w:left="480"/>
        <w:jc w:val="left"/>
      </w:pPr>
      <w:r>
        <w:rPr>
          <w:rFonts w:ascii="等线" w:hAnsi="等线"/>
          <w:b w:val="0"/>
          <w:sz w:val="21"/>
        </w:rPr>
        <w:t>◦ 水资源管理：我们积极推广水资源节约措施，实现了</w:t>
      </w:r>
      <w:r>
        <w:rPr>
          <w:rFonts w:ascii="等线" w:hAnsi="等线"/>
          <w:b w:val="0"/>
          <w:sz w:val="21"/>
          <w:highlight w:val="yellow"/>
        </w:rPr>
        <w:t>[具体百分比]</w:t>
      </w:r>
      <w:r>
        <w:rPr>
          <w:rFonts w:ascii="等线" w:hAnsi="等线"/>
          <w:b w:val="0"/>
          <w:sz w:val="21"/>
        </w:rPr>
        <w:t>的水资源循环利用率。</w:t>
      </w:r>
    </w:p>
    <w:p>
      <w:pPr>
        <w:ind w:left="480"/>
        <w:jc w:val="left"/>
      </w:pPr>
      <w:r>
        <w:rPr>
          <w:rFonts w:ascii="等线" w:hAnsi="等线"/>
          <w:b w:val="0"/>
          <w:sz w:val="21"/>
        </w:rPr>
        <w:t>◦ 废弃物管理：我们的废弃物处理政策取得了显著成效，废弃物回收率达到了</w:t>
      </w:r>
      <w:r>
        <w:rPr>
          <w:rFonts w:ascii="等线" w:hAnsi="等线"/>
          <w:b w:val="0"/>
          <w:sz w:val="21"/>
          <w:highlight w:val="yellow"/>
        </w:rPr>
        <w:t>[具体百分比]</w:t>
      </w:r>
      <w:r>
        <w:rPr>
          <w:rFonts w:ascii="等线" w:hAnsi="等线"/>
          <w:b w:val="0"/>
          <w:sz w:val="21"/>
        </w:rPr>
        <w:t>。</w:t>
      </w:r>
    </w:p>
    <w:p>
      <w:pPr>
        <w:ind w:left="480"/>
        <w:jc w:val="left"/>
      </w:pPr>
      <w:r>
        <w:rPr>
          <w:rFonts w:ascii="等线" w:hAnsi="等线"/>
          <w:b w:val="0"/>
          <w:sz w:val="21"/>
        </w:rPr>
        <w:t>◦ 绿色工厂认证：我们的</w:t>
      </w:r>
      <w:r>
        <w:rPr>
          <w:rFonts w:ascii="等线" w:hAnsi="等线"/>
          <w:b w:val="0"/>
          <w:sz w:val="21"/>
          <w:highlight w:val="yellow"/>
        </w:rPr>
        <w:t>[具体工厂名称]</w:t>
      </w:r>
      <w:r>
        <w:rPr>
          <w:rFonts w:ascii="等线" w:hAnsi="等线"/>
          <w:b w:val="0"/>
          <w:sz w:val="21"/>
        </w:rPr>
        <w:t>获得了 LEED 金级认证，成为行业内的绿色标杆。</w:t>
      </w:r>
    </w:p>
    <w:p>
      <w:pPr>
        <w:jc w:val="left"/>
      </w:pPr>
      <w:r>
        <w:rPr>
          <w:rFonts w:ascii="等线" w:hAnsi="等线"/>
          <w:b w:val="0"/>
          <w:sz w:val="21"/>
        </w:rPr>
        <w:t>2. 社会责任：</w:t>
      </w:r>
    </w:p>
    <w:p>
      <w:pPr>
        <w:ind w:left="480"/>
        <w:jc w:val="left"/>
      </w:pPr>
      <w:r>
        <w:rPr>
          <w:rFonts w:ascii="等线" w:hAnsi="等线"/>
          <w:b w:val="0"/>
          <w:sz w:val="21"/>
        </w:rPr>
        <w:t>◦ 员工发展：我们提供了丰富的培训和发展机会，员工满意度达到了</w:t>
      </w:r>
      <w:r>
        <w:rPr>
          <w:rFonts w:ascii="等线" w:hAnsi="等线"/>
          <w:b w:val="0"/>
          <w:sz w:val="21"/>
          <w:highlight w:val="yellow"/>
        </w:rPr>
        <w:t>[具体百分比]</w:t>
      </w:r>
      <w:r>
        <w:rPr>
          <w:rFonts w:ascii="等线" w:hAnsi="等线"/>
          <w:b w:val="0"/>
          <w:sz w:val="21"/>
        </w:rPr>
        <w:t>。</w:t>
      </w:r>
    </w:p>
    <w:p>
      <w:pPr>
        <w:ind w:left="480"/>
        <w:jc w:val="left"/>
      </w:pPr>
      <w:r>
        <w:rPr>
          <w:rFonts w:ascii="等线" w:hAnsi="等线"/>
          <w:b w:val="0"/>
          <w:sz w:val="21"/>
        </w:rPr>
        <w:t>◦ 供应链管理：我们与供应商合作，共同推动可持续发展，</w:t>
      </w:r>
      <w:r>
        <w:rPr>
          <w:rFonts w:ascii="等线" w:hAnsi="等线"/>
          <w:b w:val="0"/>
          <w:sz w:val="21"/>
          <w:highlight w:val="yellow"/>
        </w:rPr>
        <w:t>[具体数量]</w:t>
      </w:r>
      <w:r>
        <w:rPr>
          <w:rFonts w:ascii="等线" w:hAnsi="等线"/>
          <w:b w:val="0"/>
          <w:sz w:val="21"/>
        </w:rPr>
        <w:t>的供应商通过了我们的可持续发展审核。</w:t>
      </w:r>
    </w:p>
    <w:p>
      <w:pPr>
        <w:ind w:left="480"/>
        <w:jc w:val="left"/>
      </w:pPr>
      <w:r>
        <w:rPr>
          <w:rFonts w:ascii="等线" w:hAnsi="等线"/>
          <w:b w:val="0"/>
          <w:sz w:val="21"/>
        </w:rPr>
        <w:t>◦ 社区参与：我们积极参与社区公益活动，为当地社区做出了贡献，捐赠金额达到了</w:t>
      </w:r>
      <w:r>
        <w:rPr>
          <w:rFonts w:ascii="等线" w:hAnsi="等线"/>
          <w:b w:val="0"/>
          <w:sz w:val="21"/>
          <w:highlight w:val="yellow"/>
        </w:rPr>
        <w:t>[具体金额]</w:t>
      </w:r>
      <w:r>
        <w:rPr>
          <w:rFonts w:ascii="等线" w:hAnsi="等线"/>
          <w:b w:val="0"/>
          <w:sz w:val="21"/>
        </w:rPr>
        <w:t>。</w:t>
      </w:r>
    </w:p>
    <w:p>
      <w:pPr>
        <w:ind w:left="480"/>
        <w:jc w:val="left"/>
      </w:pPr>
      <w:r>
        <w:rPr>
          <w:rFonts w:ascii="等线" w:hAnsi="等线"/>
          <w:b w:val="0"/>
          <w:sz w:val="21"/>
        </w:rPr>
        <w:t>◦ 人权保护：我们严格遵守国际人权标准，确保员工的权益得到保护。</w:t>
      </w:r>
    </w:p>
    <w:p>
      <w:pPr>
        <w:jc w:val="left"/>
      </w:pPr>
      <w:r>
        <w:rPr>
          <w:rFonts w:ascii="等线" w:hAnsi="等线"/>
          <w:b w:val="0"/>
          <w:sz w:val="21"/>
        </w:rPr>
        <w:t>3. 公司治理：</w:t>
      </w:r>
    </w:p>
    <w:p>
      <w:pPr>
        <w:ind w:left="480"/>
        <w:jc w:val="left"/>
      </w:pPr>
      <w:r>
        <w:rPr>
          <w:rFonts w:ascii="等线" w:hAnsi="等线"/>
          <w:b w:val="0"/>
          <w:sz w:val="21"/>
        </w:rPr>
        <w:t>◦ 董事会多元化：我们的董事会成员具有多元化的背景和经验，女性董事比例达到了</w:t>
      </w:r>
      <w:r>
        <w:rPr>
          <w:rFonts w:ascii="等线" w:hAnsi="等线"/>
          <w:b w:val="0"/>
          <w:sz w:val="21"/>
          <w:highlight w:val="yellow"/>
        </w:rPr>
        <w:t>[具体百分比]</w:t>
      </w:r>
      <w:r>
        <w:rPr>
          <w:rFonts w:ascii="等线" w:hAnsi="等线"/>
          <w:b w:val="0"/>
          <w:sz w:val="21"/>
        </w:rPr>
        <w:t>。</w:t>
      </w:r>
    </w:p>
    <w:p>
      <w:pPr>
        <w:ind w:left="480"/>
        <w:jc w:val="left"/>
      </w:pPr>
      <w:r>
        <w:rPr>
          <w:rFonts w:ascii="等线" w:hAnsi="等线"/>
          <w:b w:val="0"/>
          <w:sz w:val="21"/>
        </w:rPr>
        <w:t>◦ 反腐败政策：我们实施了严格的反腐败政策，确保公司的运营合法合规。</w:t>
      </w:r>
    </w:p>
    <w:p>
      <w:pPr>
        <w:ind w:left="480"/>
        <w:jc w:val="left"/>
      </w:pPr>
      <w:r>
        <w:rPr>
          <w:rFonts w:ascii="等线" w:hAnsi="等线"/>
          <w:b w:val="0"/>
          <w:sz w:val="21"/>
        </w:rPr>
        <w:t>◦ 风险管理：我们建立了完善的风险管理体系，有效应对各种风险挑战。</w:t>
      </w:r>
    </w:p>
    <w:p>
      <w:pPr>
        <w:ind w:left="480"/>
        <w:jc w:val="left"/>
      </w:pPr>
      <w:r>
        <w:rPr>
          <w:rFonts w:ascii="等线" w:hAnsi="等线"/>
          <w:b w:val="0"/>
          <w:sz w:val="21"/>
        </w:rPr>
        <w:t>◦ 信息披露透明度：我们按照国际标准进行信息披露，提高了公司的透明度和公信力。</w:t>
      </w:r>
    </w:p>
    <w:p>
      <w:pPr>
        <w:jc w:val="left"/>
      </w:pPr>
      <w:r>
        <w:rPr>
          <w:rFonts w:ascii="等线" w:hAnsi="等线"/>
          <w:b w:val="0"/>
          <w:sz w:val="21"/>
        </w:rPr>
        <w:t>4. 可持续发展战略：</w:t>
      </w:r>
    </w:p>
    <w:p>
      <w:pPr>
        <w:ind w:left="480"/>
        <w:jc w:val="left"/>
      </w:pPr>
      <w:r>
        <w:rPr>
          <w:rFonts w:ascii="等线" w:hAnsi="等线"/>
          <w:b w:val="0"/>
          <w:sz w:val="21"/>
        </w:rPr>
        <w:t>◦ 长期目标：我们制定了明确的可持续发展长期目标，包括在</w:t>
      </w:r>
      <w:r>
        <w:rPr>
          <w:rFonts w:ascii="等线" w:hAnsi="等线"/>
          <w:b w:val="0"/>
          <w:sz w:val="21"/>
          <w:highlight w:val="yellow"/>
        </w:rPr>
        <w:t>[具体时间]</w:t>
      </w:r>
      <w:r>
        <w:rPr>
          <w:rFonts w:ascii="等线" w:hAnsi="等线"/>
          <w:b w:val="0"/>
          <w:sz w:val="21"/>
        </w:rPr>
        <w:t>实现碳中和。</w:t>
      </w:r>
    </w:p>
    <w:p>
      <w:pPr>
        <w:ind w:left="480"/>
        <w:jc w:val="left"/>
      </w:pPr>
      <w:r>
        <w:rPr>
          <w:rFonts w:ascii="等线" w:hAnsi="等线"/>
          <w:b w:val="0"/>
          <w:sz w:val="21"/>
        </w:rPr>
        <w:t>◦ 创新驱动：我们不断加大研发投入，推出了一系列环保、节能的汽车零部件产品。</w:t>
      </w:r>
    </w:p>
    <w:p>
      <w:pPr>
        <w:ind w:left="480"/>
        <w:jc w:val="left"/>
      </w:pPr>
      <w:r>
        <w:rPr>
          <w:rFonts w:ascii="等线" w:hAnsi="等线"/>
          <w:b w:val="0"/>
          <w:sz w:val="21"/>
        </w:rPr>
        <w:t>◦ 合作共赢：我们与合作伙伴共同推动可持续发展，实现了互利共赢的局面。</w:t>
      </w:r>
    </w:p>
    <w:p>
      <w:pPr>
        <w:jc w:val="left"/>
      </w:pPr>
      <w:r>
        <w:rPr>
          <w:rFonts w:ascii="等线" w:hAnsi="等线"/>
          <w:b w:val="0"/>
          <w:sz w:val="21"/>
        </w:rPr>
        <w:t>5. ESG 荣誉与认可：</w:t>
      </w:r>
    </w:p>
    <w:p>
      <w:pPr>
        <w:ind w:left="480"/>
        <w:jc w:val="left"/>
      </w:pPr>
      <w:r>
        <w:rPr>
          <w:rFonts w:ascii="等线" w:hAnsi="等线"/>
          <w:b w:val="0"/>
          <w:sz w:val="21"/>
        </w:rPr>
        <w:t xml:space="preserve">◦ </w:t>
      </w:r>
      <w:r>
        <w:rPr>
          <w:rFonts w:ascii="等线" w:hAnsi="等线"/>
          <w:b w:val="0"/>
          <w:sz w:val="21"/>
          <w:highlight w:val="yellow"/>
        </w:rPr>
        <w:t>[具体年份]</w:t>
      </w:r>
      <w:r>
        <w:rPr>
          <w:rFonts w:ascii="等线" w:hAnsi="等线"/>
          <w:b w:val="0"/>
          <w:sz w:val="21"/>
        </w:rPr>
        <w:t>，我们获得了</w:t>
      </w:r>
      <w:r>
        <w:rPr>
          <w:rFonts w:ascii="等线" w:hAnsi="等线"/>
          <w:b w:val="0"/>
          <w:sz w:val="21"/>
          <w:highlight w:val="yellow"/>
        </w:rPr>
        <w:t>[政府或权威机构名称]</w:t>
      </w:r>
      <w:r>
        <w:rPr>
          <w:rFonts w:ascii="等线" w:hAnsi="等线"/>
          <w:b w:val="0"/>
          <w:sz w:val="21"/>
        </w:rPr>
        <w:t>颁发的“最佳环境管理奖”。</w:t>
      </w:r>
    </w:p>
    <w:p>
      <w:pPr>
        <w:ind w:left="480"/>
        <w:jc w:val="left"/>
      </w:pPr>
      <w:r>
        <w:rPr>
          <w:rFonts w:ascii="等线" w:hAnsi="等线"/>
          <w:b w:val="0"/>
          <w:sz w:val="21"/>
        </w:rPr>
        <w:t xml:space="preserve">◦ </w:t>
      </w:r>
      <w:r>
        <w:rPr>
          <w:rFonts w:ascii="等线" w:hAnsi="等线"/>
          <w:b w:val="0"/>
          <w:sz w:val="21"/>
          <w:highlight w:val="yellow"/>
        </w:rPr>
        <w:t>[具体年份]</w:t>
      </w:r>
      <w:r>
        <w:rPr>
          <w:rFonts w:ascii="等线" w:hAnsi="等线"/>
          <w:b w:val="0"/>
          <w:sz w:val="21"/>
        </w:rPr>
        <w:t>，我们被</w:t>
      </w:r>
      <w:r>
        <w:rPr>
          <w:rFonts w:ascii="等线" w:hAnsi="等线"/>
          <w:b w:val="0"/>
          <w:sz w:val="21"/>
          <w:highlight w:val="yellow"/>
        </w:rPr>
        <w:t>[政府或权威机构名称]</w:t>
      </w:r>
      <w:r>
        <w:rPr>
          <w:rFonts w:ascii="等线" w:hAnsi="等线"/>
          <w:b w:val="0"/>
          <w:sz w:val="21"/>
        </w:rPr>
        <w:t>评为“社会责任典范企业”。</w:t>
      </w:r>
    </w:p>
    <w:p>
      <w:pPr>
        <w:ind w:left="480"/>
        <w:jc w:val="left"/>
      </w:pPr>
      <w:r>
        <w:rPr>
          <w:rFonts w:ascii="等线" w:hAnsi="等线"/>
          <w:b w:val="0"/>
          <w:sz w:val="21"/>
        </w:rPr>
        <w:t xml:space="preserve">◦ </w:t>
      </w:r>
      <w:r>
        <w:rPr>
          <w:rFonts w:ascii="等线" w:hAnsi="等线"/>
          <w:b w:val="0"/>
          <w:sz w:val="21"/>
          <w:highlight w:val="yellow"/>
        </w:rPr>
        <w:t>[具体年份]</w:t>
      </w:r>
      <w:r>
        <w:rPr>
          <w:rFonts w:ascii="等线" w:hAnsi="等线"/>
          <w:b w:val="0"/>
          <w:sz w:val="21"/>
        </w:rPr>
        <w:t>，我们的可持续发展报告获得了</w:t>
      </w:r>
      <w:r>
        <w:rPr>
          <w:rFonts w:ascii="等线" w:hAnsi="等线"/>
          <w:b w:val="0"/>
          <w:sz w:val="21"/>
          <w:highlight w:val="yellow"/>
        </w:rPr>
        <w:t>[政府或权威机构名称]</w:t>
      </w:r>
      <w:r>
        <w:rPr>
          <w:rFonts w:ascii="等线" w:hAnsi="等线"/>
          <w:b w:val="0"/>
          <w:sz w:val="21"/>
        </w:rPr>
        <w:t>的高度评价。</w:t>
      </w:r>
    </w:p>
    <w:p>
      <w:pPr>
        <w:jc w:val="left"/>
      </w:pPr>
      <w:r>
        <w:rPr>
          <w:rFonts w:ascii="等线" w:hAnsi="等线"/>
          <w:b w:val="0"/>
          <w:sz w:val="21"/>
        </w:rPr>
        <w:t>以上内容仅供参考，您可以根据实际情况进行修改和补充。</w:t>
      </w:r>
    </w:p>
    <w:p>
      <w:r>
        <w:br w:type="page"/>
      </w:r>
    </w:p>
    <w:p>
      <w:pPr>
        <w:pStyle w:val="Heading1"/>
      </w:pPr>
      <w:r>
        <w:rPr>
          <w:rFonts w:ascii="等线" w:hAnsi="等线" w:eastAsia="等线"/>
          <w:color w:val="000000"/>
          <w:sz w:val="44"/>
        </w:rPr>
        <w:t>业务模式与价值链</w:t>
      </w:r>
    </w:p>
    <w:p>
      <w:pPr>
        <w:jc w:val="left"/>
      </w:pPr>
      <w:r>
        <w:rPr>
          <w:rFonts w:ascii="等线" w:hAnsi="等线"/>
          <w:b w:val="0"/>
          <w:sz w:val="21"/>
        </w:rPr>
        <w:t>业务模式与价值链</w:t>
      </w:r>
    </w:p>
    <w:p>
      <w:pPr>
        <w:jc w:val="left"/>
      </w:pPr>
      <w:r>
        <w:rPr>
          <w:rFonts w:ascii="等线" w:hAnsi="等线"/>
          <w:b w:val="0"/>
          <w:sz w:val="21"/>
        </w:rPr>
        <w:t>一、商业模式</w:t>
      </w:r>
    </w:p>
    <w:p>
      <w:pPr>
        <w:jc w:val="left"/>
      </w:pPr>
      <w:r>
        <w:rPr>
          <w:rFonts w:ascii="等线" w:hAnsi="等线"/>
          <w:b w:val="0"/>
          <w:sz w:val="21"/>
        </w:rPr>
        <w:t>我们是一家面向国际市场的大型民营汽车零部件企业，专注于汽车零部件的研发、生产和销售。我们的商业模式旨在通过高效的生产运营活动，将各类资源投入转化为为客户创造价值，从而产生短期、中期和长期的现金流。</w:t>
      </w:r>
    </w:p>
    <w:p>
      <w:pPr>
        <w:jc w:val="left"/>
      </w:pPr>
      <w:r>
        <w:rPr>
          <w:rFonts w:ascii="等线" w:hAnsi="等线"/>
          <w:b w:val="0"/>
          <w:sz w:val="21"/>
        </w:rPr>
        <w:t>我们的生产运营活动主要包括以下几个环节：1.研发：我们投入大量资源进行汽车零部件的研发，以满足客户不断变化的需求。我们的研发团队拥有丰富的经验和专业知识，能够设计出高质量、高性能的汽车零部件。2.采购：我们与全球各地的供应商建立了长期稳定的合作关系，以确保原材料的质量和供应稳定性。我们的采购团队严格按照国际标准进行采购，以确保原材料的质量和环保要求。3.生产：我们拥有先进的生产设备和工艺，能够高效地生产出高质量的汽车零部件。我们的生产团队严格按照国际标准进行生产，以确保产品的质量和安全性。4.销售：我们通过全球销售网络将产品销售给客户。我们的销售团队拥有丰富的经验和专业知识，能够为客户提供优质的服务和解决方案。</w:t>
      </w:r>
    </w:p>
    <w:p>
      <w:pPr>
        <w:jc w:val="left"/>
      </w:pPr>
      <w:r>
        <w:rPr>
          <w:rFonts w:ascii="等线" w:hAnsi="等线"/>
          <w:b w:val="0"/>
          <w:sz w:val="21"/>
        </w:rPr>
        <w:t>通过以上生产运营活动，我们将各类资源投入转化为为客户创造价值，从而产生短期、中期和长期的现金流。我们的短期现金流主要来自于产品销售，中期现金流主要来自于新产品研发和市场拓展，长期现金流主要来自于品牌建设和客户忠诚度的提升。</w:t>
      </w:r>
    </w:p>
    <w:p>
      <w:pPr>
        <w:jc w:val="left"/>
      </w:pPr>
      <w:r>
        <w:rPr>
          <w:rFonts w:ascii="等线" w:hAnsi="等线"/>
          <w:b w:val="0"/>
          <w:sz w:val="21"/>
        </w:rPr>
        <w:t>二、价值链</w:t>
      </w:r>
    </w:p>
    <w:p>
      <w:pPr>
        <w:jc w:val="left"/>
      </w:pPr>
      <w:r>
        <w:rPr>
          <w:rFonts w:ascii="等线" w:hAnsi="等线"/>
          <w:b w:val="0"/>
          <w:sz w:val="21"/>
        </w:rPr>
        <w:t>我们的价值链包括企业自身内部重要的生产运营过程，以及上游供应商、下游客户、重要的资源提供者和竞争者等外部环节。</w:t>
      </w:r>
    </w:p>
    <w:p>
      <w:pPr>
        <w:jc w:val="left"/>
      </w:pPr>
      <w:r>
        <w:rPr>
          <w:rFonts w:ascii="等线" w:hAnsi="等线"/>
          <w:b w:val="0"/>
          <w:sz w:val="21"/>
        </w:rPr>
        <w:t>1. 上游供应商：我们的上游供应商主要包括原材料供应商、零部件供应商和设备供应商等。我们与全球各地的供应商建立了长期稳定的合作关系，以确保原材料的质量和供应稳定性。我们的采购团队严格按照国际标准进行采购，以确保原材料的质量和环保要求。</w:t>
      </w:r>
    </w:p>
    <w:p>
      <w:pPr>
        <w:jc w:val="left"/>
      </w:pPr>
      <w:r>
        <w:rPr>
          <w:rFonts w:ascii="等线" w:hAnsi="等线"/>
          <w:b w:val="0"/>
          <w:sz w:val="21"/>
        </w:rPr>
        <w:t>2. 下游客户：我们的下游客户主要包括汽车制造商、汽车零部件经销商和汽车维修服务商等。我们通过全球销售网络将产品销售给客户，为客户提供优质的服务和解决方案。我们的销售团队拥有丰富的经验和专业知识，能够为客户提供个性化的服务和支持。</w:t>
      </w:r>
    </w:p>
    <w:p>
      <w:pPr>
        <w:jc w:val="left"/>
      </w:pPr>
      <w:r>
        <w:rPr>
          <w:rFonts w:ascii="等线" w:hAnsi="等线"/>
          <w:b w:val="0"/>
          <w:sz w:val="21"/>
        </w:rPr>
        <w:t>3. 重要的资源提供者：我们的重要资源提供者主要包括人力资源、技术资源和财务资源等。我们拥有一支高素质的员工队伍，能够为企业的发展提供有力的支持。我们的技术团队拥有丰富的经验和专业知识，能够为企业的研发和生产提供技术支持。我们的财务团队拥有丰富的经验和专业知识，能够为企业的发展提供资金支持。</w:t>
      </w:r>
    </w:p>
    <w:p>
      <w:pPr>
        <w:jc w:val="left"/>
      </w:pPr>
      <w:r>
        <w:rPr>
          <w:rFonts w:ascii="等线" w:hAnsi="等线"/>
          <w:b w:val="0"/>
          <w:sz w:val="21"/>
        </w:rPr>
        <w:t>4. 竞争者：我们的竞争者主要包括国际知名汽车零部件企业和国内大型汽车零部件企业等。我们通过不断提高产品质量和服务水平，加强品牌建设和市场拓展，提高企业的核心竞争力，以应对激烈的市场竞争。</w:t>
      </w:r>
    </w:p>
    <w:p>
      <w:pPr>
        <w:jc w:val="left"/>
      </w:pPr>
      <w:r>
        <w:rPr>
          <w:rFonts w:ascii="等线" w:hAnsi="等线"/>
          <w:b w:val="0"/>
          <w:sz w:val="21"/>
        </w:rPr>
        <w:t>总之，我们的价值链是一个相互关联、相互依存的系统，通过与上游供应商、下游客户、重要的资源提供者和竞争者等外部环节的合作和竞争，实现企业的可持续发展。</w:t>
      </w:r>
    </w:p>
    <w:p>
      <w:r>
        <w:br w:type="page"/>
      </w:r>
    </w:p>
    <w:p>
      <w:pPr>
        <w:pStyle w:val="Heading1"/>
      </w:pPr>
      <w:r>
        <w:rPr>
          <w:rFonts w:ascii="等线" w:hAnsi="等线" w:eastAsia="等线"/>
          <w:color w:val="000000"/>
          <w:sz w:val="44"/>
        </w:rPr>
        <w:t>实质性议题分析</w:t>
      </w:r>
    </w:p>
    <w:p>
      <w:pPr>
        <w:jc w:val="left"/>
      </w:pPr>
      <w:r>
        <w:rPr>
          <w:rFonts w:ascii="等线" w:hAnsi="等线"/>
          <w:b w:val="0"/>
          <w:sz w:val="21"/>
        </w:rPr>
        <w:t>实质性议题分析</w:t>
      </w:r>
    </w:p>
    <w:p>
      <w:pPr>
        <w:jc w:val="left"/>
      </w:pPr>
      <w:r>
        <w:rPr>
          <w:rFonts w:ascii="等线" w:hAnsi="等线"/>
          <w:b w:val="0"/>
          <w:sz w:val="21"/>
        </w:rPr>
        <w:t>1. 流程步骤：</w:t>
      </w:r>
    </w:p>
    <w:p>
      <w:pPr>
        <w:ind w:left="480"/>
        <w:jc w:val="left"/>
      </w:pPr>
      <w:r>
        <w:rPr>
          <w:rFonts w:ascii="等线" w:hAnsi="等线"/>
          <w:b w:val="0"/>
          <w:sz w:val="21"/>
        </w:rPr>
        <w:t>◦ 企业背景分析：深入了解企业的业务模式、价值链以及在行业中的地位。这包括对企业的产品或服务、市场份额、主要客户和供应商等方面的研究。</w:t>
      </w:r>
    </w:p>
    <w:p>
      <w:pPr>
        <w:ind w:left="480"/>
        <w:jc w:val="left"/>
      </w:pPr>
      <w:r>
        <w:rPr>
          <w:rFonts w:ascii="等线" w:hAnsi="等线"/>
          <w:b w:val="0"/>
          <w:sz w:val="21"/>
        </w:rPr>
        <w:t>◦ 影响识别：识别企业运营对环境、社会和治理方面的实际和潜在影响。这些影响可能包括能源消耗、温室气体排放、劳动条件、供应链管理等。</w:t>
      </w:r>
    </w:p>
    <w:p>
      <w:pPr>
        <w:ind w:left="480"/>
        <w:jc w:val="left"/>
      </w:pPr>
      <w:r>
        <w:rPr>
          <w:rFonts w:ascii="等线" w:hAnsi="等线"/>
          <w:b w:val="0"/>
          <w:sz w:val="21"/>
        </w:rPr>
        <w:t>◦ 影响评估：评估影响的重大程度，从严重性（如规模、范围、不可补救性等）和可能性等角度进行分析。使用定量和定性指标来衡量影响的程度。</w:t>
      </w:r>
    </w:p>
    <w:p>
      <w:pPr>
        <w:ind w:left="480"/>
        <w:jc w:val="left"/>
      </w:pPr>
      <w:r>
        <w:rPr>
          <w:rFonts w:ascii="等线" w:hAnsi="等线"/>
          <w:b w:val="0"/>
          <w:sz w:val="21"/>
        </w:rPr>
        <w:t>◦ 优先级排序：根据影响的评估结果，对实质性议题进行优先级排序。设定阈值来辅助排序，参考行业标准中的议题，并由最高治理机构审核和批准该清单。</w:t>
      </w:r>
    </w:p>
    <w:p>
      <w:pPr>
        <w:jc w:val="left"/>
      </w:pPr>
      <w:r>
        <w:rPr>
          <w:rFonts w:ascii="等线" w:hAnsi="等线"/>
          <w:b w:val="0"/>
          <w:sz w:val="21"/>
        </w:rPr>
        <w:t>2. 实质性议题及优先级：</w:t>
      </w:r>
    </w:p>
    <w:p>
      <w:pPr>
        <w:ind w:left="480"/>
        <w:jc w:val="left"/>
      </w:pPr>
      <w:r>
        <w:rPr>
          <w:rFonts w:ascii="等线" w:hAnsi="等线"/>
          <w:b w:val="0"/>
          <w:sz w:val="21"/>
        </w:rPr>
        <w:t>◦ 气候变化与能源管理：高优先级。随着全球对气候变化的关注增加，企业在减少温室气体排放、提高能源效率方面的努力变得至关重要。</w:t>
      </w:r>
    </w:p>
    <w:p>
      <w:pPr>
        <w:ind w:left="480"/>
        <w:jc w:val="left"/>
      </w:pPr>
      <w:r>
        <w:rPr>
          <w:rFonts w:ascii="等线" w:hAnsi="等线"/>
          <w:b w:val="0"/>
          <w:sz w:val="21"/>
        </w:rPr>
        <w:t>◦ 供应链可持续性：高优先级。确保供应链中的劳工权益、环境标准和商业道德是企业社会责任的重要组成部分。</w:t>
      </w:r>
    </w:p>
    <w:p>
      <w:pPr>
        <w:ind w:left="480"/>
        <w:jc w:val="left"/>
      </w:pPr>
      <w:r>
        <w:rPr>
          <w:rFonts w:ascii="等线" w:hAnsi="等线"/>
          <w:b w:val="0"/>
          <w:sz w:val="21"/>
        </w:rPr>
        <w:t>◦ 产品质量与安全：高优先级。汽车零部件的质量和安全直接关系到消费者的生命安全和企业的声誉。</w:t>
      </w:r>
    </w:p>
    <w:p>
      <w:pPr>
        <w:ind w:left="480"/>
        <w:jc w:val="left"/>
      </w:pPr>
      <w:r>
        <w:rPr>
          <w:rFonts w:ascii="等线" w:hAnsi="等线"/>
          <w:b w:val="0"/>
          <w:sz w:val="21"/>
        </w:rPr>
        <w:t>◦ 员工发展与福利：中优先级。吸引和留住优秀员工对于企业的长期发展至关重要，提供良好的工作环境和发展机会是企业的责任。</w:t>
      </w:r>
    </w:p>
    <w:p>
      <w:pPr>
        <w:ind w:left="480"/>
        <w:jc w:val="left"/>
      </w:pPr>
      <w:r>
        <w:rPr>
          <w:rFonts w:ascii="等线" w:hAnsi="等线"/>
          <w:b w:val="0"/>
          <w:sz w:val="21"/>
        </w:rPr>
        <w:t>◦ 社区参与与发展：中优先级。积极参与社区活动，为当地社区的发展做出贡献，有助于提升企业的社会形象。</w:t>
      </w:r>
    </w:p>
    <w:p>
      <w:pPr>
        <w:jc w:val="left"/>
      </w:pPr>
      <w:r>
        <w:rPr>
          <w:rFonts w:ascii="等线" w:hAnsi="等线"/>
          <w:b w:val="0"/>
          <w:sz w:val="21"/>
        </w:rPr>
        <w:t>与上一期报告相比，本期报告中供应链可持续性的优先级有所提高。这是由于全球供应链面临的挑战日益增加，企业需要更加关注供应链中的环境和社会风险。</w:t>
      </w:r>
    </w:p>
    <w:p>
      <w:pPr>
        <w:jc w:val="left"/>
      </w:pPr>
      <w:r>
        <w:rPr>
          <w:rFonts w:ascii="等线" w:hAnsi="等线"/>
          <w:b w:val="0"/>
          <w:sz w:val="21"/>
        </w:rPr>
        <w:t>通过以上实质性议题分析，我们能够确定企业在 ESG 方面的关键领域，并制定相应的战略和行动计划，以实现可持续发展的目标。同时，定期评估和更新实质性议题清单，以确保其与企业的发展和行业趋势保持一致。</w:t>
      </w:r>
    </w:p>
    <w:p>
      <w:r>
        <w:br w:type="page"/>
      </w:r>
    </w:p>
    <w:p>
      <w:pPr>
        <w:pStyle w:val="Heading1"/>
      </w:pPr>
      <w:r>
        <w:rPr>
          <w:rFonts w:ascii="等线" w:hAnsi="等线" w:eastAsia="等线"/>
          <w:color w:val="000000"/>
          <w:sz w:val="44"/>
        </w:rPr>
        <w:t>可持续发展管理</w:t>
      </w:r>
    </w:p>
    <w:p>
      <w:pPr>
        <w:pStyle w:val="Heading2"/>
      </w:pPr>
      <w:r>
        <w:rPr>
          <w:rFonts w:ascii="等线" w:hAnsi="等线" w:eastAsia="等线"/>
          <w:color w:val="000000"/>
          <w:sz w:val="32"/>
        </w:rPr>
        <w:t>治理结构</w:t>
      </w:r>
    </w:p>
    <w:p>
      <w:pPr>
        <w:jc w:val="left"/>
      </w:pPr>
      <w:r>
        <w:rPr>
          <w:rFonts w:ascii="等线" w:hAnsi="等线"/>
          <w:b w:val="0"/>
          <w:sz w:val="21"/>
        </w:rPr>
        <w:t>以下是一个面向国际市场的大型民营汽车零部件企业 ESG 报告中可持续发展管理-治理结构的内容模板：</w:t>
      </w:r>
    </w:p>
    <w:p>
      <w:pPr>
        <w:jc w:val="left"/>
      </w:pPr>
      <w:r>
        <w:rPr>
          <w:rFonts w:ascii="等线" w:hAnsi="等线"/>
          <w:b w:val="0"/>
          <w:sz w:val="21"/>
        </w:rPr>
        <w:t>一、公司治理结构</w:t>
      </w:r>
    </w:p>
    <w:p>
      <w:pPr>
        <w:jc w:val="left"/>
      </w:pPr>
      <w:r>
        <w:rPr>
          <w:rFonts w:ascii="等线" w:hAnsi="等线"/>
          <w:b w:val="0"/>
          <w:sz w:val="21"/>
        </w:rPr>
        <w:t>我们的公司治理结构旨在确保公司的有效运营和可持续发展。公司设立了董事会和专门委员会，负责管理和监督可持续发展相关的影响、风险和机遇。</w:t>
      </w:r>
    </w:p>
    <w:p>
      <w:pPr>
        <w:jc w:val="left"/>
      </w:pPr>
      <w:r>
        <w:rPr>
          <w:rFonts w:ascii="等线" w:hAnsi="等线"/>
          <w:b w:val="0"/>
          <w:sz w:val="21"/>
        </w:rPr>
        <w:t>（一）董事会董事会由</w:t>
      </w:r>
      <w:r>
        <w:rPr>
          <w:rFonts w:ascii="等线" w:hAnsi="等线"/>
          <w:b w:val="0"/>
          <w:sz w:val="21"/>
          <w:highlight w:val="yellow"/>
        </w:rPr>
        <w:t>[X]</w:t>
      </w:r>
      <w:r>
        <w:rPr>
          <w:rFonts w:ascii="等线" w:hAnsi="等线"/>
          <w:b w:val="0"/>
          <w:sz w:val="21"/>
        </w:rPr>
        <w:t>名成员组成，其中包括</w:t>
      </w:r>
      <w:r>
        <w:rPr>
          <w:rFonts w:ascii="等线" w:hAnsi="等线"/>
          <w:b w:val="0"/>
          <w:sz w:val="21"/>
          <w:highlight w:val="yellow"/>
        </w:rPr>
        <w:t>[X]</w:t>
      </w:r>
      <w:r>
        <w:rPr>
          <w:rFonts w:ascii="等线" w:hAnsi="等线"/>
          <w:b w:val="0"/>
          <w:sz w:val="21"/>
        </w:rPr>
        <w:t>名独立董事。董事会成员具有丰富的行业经验和专业知识，能够为公司的战略决策提供指导。董事会的职权范围包括制定公司的战略规划、监督公司的运营管理、审批重大投资决策等。</w:t>
      </w:r>
    </w:p>
    <w:p>
      <w:pPr>
        <w:jc w:val="left"/>
      </w:pPr>
      <w:r>
        <w:rPr>
          <w:rFonts w:ascii="等线" w:hAnsi="等线"/>
          <w:b w:val="0"/>
          <w:sz w:val="21"/>
        </w:rPr>
        <w:t>（二）专门委员会为了更好地管理和监督可持续发展相关的事务，公司设立了以下专门委员会：1.可持续发展委员会：负责制定公司的可持续发展战略和目标，监督可持续发展项目的实施情况。2.风险管理委员会：负责识别和评估公司面临的风险，制定风险管理策略和措施。3.审计委员会：负责监督公司的财务报告和内部控制制度，确保公司的财务信息真实、准确。</w:t>
      </w:r>
    </w:p>
    <w:p>
      <w:pPr>
        <w:jc w:val="left"/>
      </w:pPr>
      <w:r>
        <w:rPr>
          <w:rFonts w:ascii="等线" w:hAnsi="等线"/>
          <w:b w:val="0"/>
          <w:sz w:val="21"/>
        </w:rPr>
        <w:t>二、管理层设置情况</w:t>
      </w:r>
    </w:p>
    <w:p>
      <w:pPr>
        <w:jc w:val="left"/>
      </w:pPr>
      <w:r>
        <w:rPr>
          <w:rFonts w:ascii="等线" w:hAnsi="等线"/>
          <w:b w:val="0"/>
          <w:sz w:val="21"/>
        </w:rPr>
        <w:t>公司的管理层由首席执行官（CEO）、首席财务官（CFO）、首席运营官（COO）等组成。管理层的工作任务和目标是执行董事会的决策，管理公司的日常运营，实现公司的战略目标。</w:t>
      </w:r>
    </w:p>
    <w:p>
      <w:pPr>
        <w:jc w:val="left"/>
      </w:pPr>
      <w:r>
        <w:rPr>
          <w:rFonts w:ascii="等线" w:hAnsi="等线"/>
          <w:b w:val="0"/>
          <w:sz w:val="21"/>
        </w:rPr>
        <w:t>三、专业技能和能力</w:t>
      </w:r>
    </w:p>
    <w:p>
      <w:pPr>
        <w:jc w:val="left"/>
      </w:pPr>
      <w:r>
        <w:rPr>
          <w:rFonts w:ascii="等线" w:hAnsi="等线"/>
          <w:b w:val="0"/>
          <w:sz w:val="21"/>
        </w:rPr>
        <w:t>公司的董事会和管理层成员具备丰富的专业技能和能力，能够有效地管理和监督可持续发展相关的影响、风险和机遇。以下是一些具体的例子：1.可持续发展知识：董事会和管理层成员了解可持续发展的概念和原则，掌握相关的法律法规和政策。2.行业经验：董事会和管理层成员具有丰富的汽车零部件行业经验，熟悉行业的发展趋势和市场需求。3.风险管理能力：董事会和管理层成员具备风险管理的知识和技能，能够识别和评估公司面临的风险，并制定相应的风险管理策略和措施。4.沟通协调能力：董事会和管理层成员具备良好的沟通协调能力，能够与各利益相关方进行有效的沟通和协调。</w:t>
      </w:r>
    </w:p>
    <w:p>
      <w:pPr>
        <w:jc w:val="left"/>
      </w:pPr>
      <w:r>
        <w:rPr>
          <w:rFonts w:ascii="等线" w:hAnsi="等线"/>
          <w:b w:val="0"/>
          <w:sz w:val="21"/>
        </w:rPr>
        <w:t>四、信息报告机制</w:t>
      </w:r>
    </w:p>
    <w:p>
      <w:pPr>
        <w:jc w:val="left"/>
      </w:pPr>
      <w:r>
        <w:rPr>
          <w:rFonts w:ascii="等线" w:hAnsi="等线"/>
          <w:b w:val="0"/>
          <w:sz w:val="21"/>
        </w:rPr>
        <w:t>为了保障董事会和管理层及时获取可持续发展相关的信息，公司建立了完善的信息报告机制。以下是一些具体的措施：1.定期报告：公司定期向董事会和管理层提交可持续发展报告，报告公司的可持续发展战略和目标的执行情况，以及可持续发展项目的实施情况。2.临时报告：公司在发生重大可持续发展事件时，及时向董事会和管理层提交临时报告，报告事件的情况和影响。3.信息系统：公司建立了完善的信息系统，能够及时收集、整理和分析可持续发展相关的信息，并将信息传递给董事会和管理层。</w:t>
      </w:r>
    </w:p>
    <w:p>
      <w:pPr>
        <w:jc w:val="left"/>
      </w:pPr>
      <w:r>
        <w:rPr>
          <w:rFonts w:ascii="等线" w:hAnsi="等线"/>
          <w:b w:val="0"/>
          <w:sz w:val="21"/>
        </w:rPr>
        <w:t>五、监督管理情况</w:t>
      </w:r>
    </w:p>
    <w:p>
      <w:pPr>
        <w:jc w:val="left"/>
      </w:pPr>
      <w:r>
        <w:rPr>
          <w:rFonts w:ascii="等线" w:hAnsi="等线"/>
          <w:b w:val="0"/>
          <w:sz w:val="21"/>
        </w:rPr>
        <w:t>公司的董事会和管理层通过建立内部控制制度、监督程序和监督措施，对可持续发展相关的影响、风险和机遇进行有效的监督管理。以下是一些具体的措施：1.内部控制制度：公司建立了完善的内部控制制度，包括风险管理、内部审计、合规管理等方面的制度，确保公司的运营管理符合法律法规和道德规范。2.监督程序：公司的董事会和管理层通过定期召开会议、听取汇报、实地考察等方式，对可持续发展相关的事务进行监督管理。3.监督措施：公司的董事会和管理层通过制定绩效考核指标、实施奖惩制度等方式，对可持续发展相关的事务进行监督管理。</w:t>
      </w:r>
    </w:p>
    <w:p>
      <w:pPr>
        <w:jc w:val="left"/>
      </w:pPr>
      <w:r>
        <w:rPr>
          <w:rFonts w:ascii="等线" w:hAnsi="等线"/>
          <w:b w:val="0"/>
          <w:sz w:val="21"/>
        </w:rPr>
        <w:t>六、决策考虑措施</w:t>
      </w:r>
    </w:p>
    <w:p>
      <w:pPr>
        <w:jc w:val="left"/>
      </w:pPr>
      <w:r>
        <w:rPr>
          <w:rFonts w:ascii="等线" w:hAnsi="等线"/>
          <w:b w:val="0"/>
          <w:sz w:val="21"/>
        </w:rPr>
        <w:t>公司的董事会和管理层在监督披露主体战略实施、重大交易决策、风险管理过程中，将可持续发展相关的影响、风险和机遇纳入决策考虑。以下是一些具体的措施：1.战略规划：公司在制定战略规划时，充分考虑可持续发展的因素，将可持续发展目标纳入公司的战略规划。2.重大交易决策：公司在进行重大交易决策时，充分考虑可持续发展的因素，评估交易对公司可持续发展的影响。3.风险管理：公司在进行风险管理时，充分考虑可持续发展的因素，将可持续发展风险纳入公司的风险管理体系。</w:t>
      </w:r>
    </w:p>
    <w:p>
      <w:pPr>
        <w:jc w:val="left"/>
      </w:pPr>
      <w:r>
        <w:rPr>
          <w:rFonts w:ascii="等线" w:hAnsi="等线"/>
          <w:b w:val="0"/>
          <w:sz w:val="21"/>
        </w:rPr>
        <w:t>总之，我们的公司治理结构和内部制度确保了公司能够有效地管理和监督可持续发展相关的影响、风险和机遇，实现公司的可持续发展目标。</w:t>
      </w:r>
    </w:p>
    <w:p>
      <w:pPr>
        <w:pStyle w:val="Heading2"/>
      </w:pPr>
      <w:r>
        <w:rPr>
          <w:rFonts w:ascii="等线" w:hAnsi="等线" w:eastAsia="等线"/>
          <w:color w:val="000000"/>
          <w:sz w:val="32"/>
        </w:rPr>
        <w:t>风险与机遇识别</w:t>
      </w:r>
    </w:p>
    <w:p>
      <w:pPr>
        <w:jc w:val="left"/>
      </w:pPr>
      <w:r>
        <w:rPr>
          <w:rFonts w:ascii="等线" w:hAnsi="等线"/>
          <w:b w:val="0"/>
          <w:sz w:val="21"/>
        </w:rPr>
        <w:t>以下是一个面向国际市场的大型民营汽车零部件企业 ESG 报告中可持续发展管理-风险与机遇识别的内容模板：</w:t>
      </w:r>
    </w:p>
    <w:p>
      <w:pPr>
        <w:jc w:val="left"/>
      </w:pPr>
      <w:r>
        <w:rPr>
          <w:rFonts w:ascii="等线" w:hAnsi="等线"/>
          <w:b w:val="0"/>
          <w:sz w:val="21"/>
        </w:rPr>
        <w:t>可持续发展管理-风险与机遇识别</w:t>
      </w:r>
    </w:p>
    <w:p>
      <w:pPr>
        <w:jc w:val="left"/>
      </w:pPr>
      <w:r>
        <w:rPr>
          <w:rFonts w:ascii="等线" w:hAnsi="等线"/>
          <w:b w:val="0"/>
          <w:sz w:val="21"/>
        </w:rPr>
        <w:t>一、风险与机遇识别1.气候变化相关物理风险： - 极端天气事件（如暴雨、洪水、飓风等）可能对公司的生产设施和供应链造成破坏，影响生产和交付。 - 海平面上升可能导致公司沿海地区的设施面临淹没风险。 - 气候变化可能导致原材料供应短缺或价格波动，影响公司的成本和盈利能力。2.转型风险： - 随着全球对可持续交通的需求增加，公司可能面临来自传统燃油汽车向电动汽车转型的压力。 - 技术进步可能导致公司现有产品和技术过时，需要不断进行研发和创新投资。 - 政策法规的变化（如碳排放法规、燃油效率标准等）可能对公司的业务产生重大影响。3.其他风险： - 市场竞争加剧可能导致公司市场份额下降和利润减少。 - 原材料价格波动可能对公司的成本和盈利能力产生不利影响。 - 供应链中断可能影响公司的生产和交付。</w:t>
      </w:r>
    </w:p>
    <w:p>
      <w:pPr>
        <w:jc w:val="left"/>
      </w:pPr>
      <w:r>
        <w:rPr>
          <w:rFonts w:ascii="等线" w:hAnsi="等线"/>
          <w:b w:val="0"/>
          <w:sz w:val="21"/>
        </w:rPr>
        <w:t>二、风险和机遇对公司造成重大影响的时间范围1.短期（1-2 年）： - 气候变化相关物理风险可能导致生产设施损坏和供应链中断，影响公司的短期生产和交付。 - 市场竞争加剧可能导致公司市场份额下降和利润减少。 - 原材料价格波动可能对公司的短期成本和盈利能力产生不利影响。2.中期（3-5 年）： - 电动汽车市场的增长可能对公司的传统燃油汽车零部件业务产生冲击。 - 技术进步可能导致公司现有产品和技术过时，需要进行研发和创新投资。 - 政策法规的变化可能对公司的中期业务产生重大影响。3.长期（5 年以上）： - 气候变化可能导致原材料供应短缺和价格波动，影响公司的长期成本和盈利能力。 - 可持续发展趋势可能促使公司进行业务转型，投资于新能源汽车零部件和可持续技术。 - 社会对企业社会责任的期望不断提高，可能对公司的品牌形象和市场竞争力产生长期影响。</w:t>
      </w:r>
    </w:p>
    <w:p>
      <w:pPr>
        <w:jc w:val="left"/>
      </w:pPr>
      <w:r>
        <w:rPr>
          <w:rFonts w:ascii="等线" w:hAnsi="等线"/>
          <w:b w:val="0"/>
          <w:sz w:val="21"/>
        </w:rPr>
        <w:t>三、公司对短期、中期和长期的定义，以及相关定义与公司的发展战略规划和资源分配计划的匹配情况1.短期：公司将短期定义为 1-2 年，在此期间，公司的主要目标是保持业务稳定增长，提高市场份额，优化运营效率，降低成本。公司的资源分配计划将侧重于满足市场需求，提高产品质量，加强供应链管理，以及进行必要的技术升级和设备维护。2.中期：公司将中期定义为 3-5 年，在此期间，公司的主要目标是实现业务转型，拓展新能源汽车零部件市场，加强研发创新能力，提高产品附加值。公司的资源分配计划将侧重于投资于研发和创新，扩大生产规模，提升品牌形象，以及加强与合作伙伴的合作。3.长期：公司将长期定义为 5 年以上，在此期间，公司的主要目标是成为全球领先的可持续汽车零部件供应商，实现可持续发展。公司的资源分配计划将侧重于投资于可持续技术和解决方案，推动行业变革，加强企业社会责任，以及培养和吸引优秀人才。</w:t>
      </w:r>
    </w:p>
    <w:p>
      <w:pPr>
        <w:jc w:val="left"/>
      </w:pPr>
      <w:r>
        <w:rPr>
          <w:rFonts w:ascii="等线" w:hAnsi="等线"/>
          <w:b w:val="0"/>
          <w:sz w:val="21"/>
        </w:rPr>
        <w:t>四、可持续发展相关风险和机遇在当期对公司商业模式、主要供应商和其他利益相关方产生的影响1.商业模式： - 气候变化相关物理风险可能导致公司的生产设施损坏和供应链中断，影响公司的生产和交付能力。为了应对这些风险，公司将加强风险管理，制定应急预案，提高生产设施的抗灾能力，以及优化供应链管理。 - 转型风险可能促使公司进行业务转型，投资于新能源汽车零部件和可持续技术。为了抓住这些机遇，公司将加强研发创新能力，拓展市场渠道，提升品牌形象，以及加强与合作伙伴的合作。2.主要供应商： - 气候变化可能导致原材料供应短缺和价格波动，影响公司的成本和盈利能力。为了应对这些风险，公司将加强与供应商的合作，建立长期稳定的供应关系，优化采购策略，以及加强原材料库存管理。 - 可持续发展趋势可能促使公司的主要供应商加强环境和社会责任管理，提高产品质量和可持续性。为了支持供应商的发展，公司将提供必要的技术和资金支持，共同推动行业的可持续发展。3.其他利益相关方： - 社会对企业社会责任的期望不断提高，可能对公司的品牌形象和市场竞争力产生长期影响。为了满足利益相关方的期望，公司将加强企业社会责任管理，积极参与社会公益活动，提高员工福利，以及加强与社区的沟通和合作。</w:t>
      </w:r>
    </w:p>
    <w:p>
      <w:pPr>
        <w:jc w:val="left"/>
      </w:pPr>
      <w:r>
        <w:rPr>
          <w:rFonts w:ascii="等线" w:hAnsi="等线"/>
          <w:b w:val="0"/>
          <w:sz w:val="21"/>
        </w:rPr>
        <w:t>五、相关风险和机遇集中的区域、设施或资产类型等，并预测未来的影响1.区域： - 公司的生产设施主要集中在沿海地区，可能面临海平面上升和极端天气事件的风险。为了应对这些风险，公司将加强生产设施的抗灾能力，制定应急预案，以及考虑将部分生产设施转移到内陆地区。 - 公司的主要市场集中在欧美地区，可能受到政策法规变化和市场竞争加剧的影响。为了应对这些风险，公司将加强市场调研，优化产品结构，提升品牌形象，以及加强与当地合作伙伴的合作。2.设施或资产类型： - 公司的生产设施和设备可能受到气候变化相关物理风险的影响，需要进行定期维护和升级。为了应对这些风险，公司将加强设施和设备的管理，制定维护计划，以及考虑采用先进的技术和设备。 - 公司的研发中心和实验室可能受到技术进步和市场需求变化的影响，需要不断进行创新和升级。为了抓住这些机遇，公司将加强研发投入，吸引优秀人才，以及加强与高校和科研机构的合作。</w:t>
      </w:r>
    </w:p>
    <w:p>
      <w:pPr>
        <w:jc w:val="left"/>
      </w:pPr>
      <w:r>
        <w:rPr>
          <w:rFonts w:ascii="等线" w:hAnsi="等线"/>
          <w:b w:val="0"/>
          <w:sz w:val="21"/>
        </w:rPr>
        <w:t>六、公司为监测、预防、管理、控制、减缓相关重大影响所采取的措施和行动1.风险管理体系： - 公司建立了完善的风险管理体系，包括风险识别、评估、控制和监测等环节。公司定期对可持续发展相关风险进行评估和更新，制定相应的风险管理策略和措施。2.可持续发展战略： - 公司制定了可持续发展战略，明确了公司的可持续发展目标和行动计划。公司将可持续发展理念融入到公司的业务运营和发展战略中，推动公司的可持续发展。3.技术创新： - 公司加强技术创新，不断推出新产品和新技术，提高产品的附加值和竞争力。公司积极投资于研发和创新，加强与高校和科研机构的合作，推动行业的技术进步和可持续发展。4.供应链管理： - 公司加强供应链管理，建立了长期稳定的供应关系，优化采购策略，降低采购成本。公司加强对供应商的环境和社会责任管理，推动供应商的可持续发展。5.企业社会责任： - 公司积极履行企业社会责任，参与社会公益活动，提高员工福利，加强与社区的沟通和合作。公司发布了企业社会责任报告，定期披露公司的社会责任履行情况。</w:t>
      </w:r>
    </w:p>
    <w:p>
      <w:pPr>
        <w:jc w:val="left"/>
      </w:pPr>
      <w:r>
        <w:rPr>
          <w:rFonts w:ascii="等线" w:hAnsi="等线"/>
          <w:b w:val="0"/>
          <w:sz w:val="21"/>
        </w:rPr>
        <w:t>以上内容仅供参考，你可以根据实际情况进行调整和补充。</w:t>
      </w:r>
    </w:p>
    <w:p>
      <w:pPr>
        <w:pStyle w:val="Heading2"/>
      </w:pPr>
      <w:r>
        <w:rPr>
          <w:rFonts w:ascii="等线" w:hAnsi="等线" w:eastAsia="等线"/>
          <w:color w:val="000000"/>
          <w:sz w:val="32"/>
        </w:rPr>
        <w:t>战略与决策应对</w:t>
      </w:r>
    </w:p>
    <w:p>
      <w:pPr>
        <w:jc w:val="left"/>
      </w:pPr>
      <w:r>
        <w:rPr>
          <w:rFonts w:ascii="等线" w:hAnsi="等线"/>
          <w:b w:val="0"/>
          <w:sz w:val="21"/>
        </w:rPr>
        <w:t>可持续发展管理-战略与决策应对</w:t>
      </w:r>
    </w:p>
    <w:p>
      <w:pPr>
        <w:jc w:val="left"/>
      </w:pPr>
      <w:r>
        <w:rPr>
          <w:rFonts w:ascii="等线" w:hAnsi="等线"/>
          <w:b w:val="0"/>
          <w:sz w:val="21"/>
        </w:rPr>
        <w:t>我们深知，在当今全球化的商业环境中，可持续发展已成为企业成功的关键因素之一。作为一家面向国际市场的大型民营汽车零部件企业，我们积极应对可持续发展相关影响、风险和机遇，将其融入公司的战略和决策过程中。以下是我们在这方面的具体做法：</w:t>
      </w:r>
    </w:p>
    <w:p>
      <w:pPr>
        <w:jc w:val="left"/>
      </w:pPr>
      <w:r>
        <w:rPr>
          <w:rFonts w:ascii="等线" w:hAnsi="等线"/>
          <w:b w:val="0"/>
          <w:sz w:val="21"/>
        </w:rPr>
        <w:t>一、战略制定和重大决策过程中采用的方法</w:t>
      </w:r>
    </w:p>
    <w:p>
      <w:pPr>
        <w:jc w:val="left"/>
      </w:pPr>
      <w:r>
        <w:rPr>
          <w:rFonts w:ascii="等线" w:hAnsi="等线"/>
          <w:b w:val="0"/>
          <w:sz w:val="21"/>
        </w:rPr>
        <w:t>我们建立了完善的战略决策机制，确保在制定公司战略和重大决策时充分考虑可持续发展因素。具体方法包括：1.可持续发展评估：在项目前期，我们会对潜在的可持续发展影响进行全面评估，包括环境、社会和治理方面的因素。2.利益相关者参与：积极与利益相关者沟通，包括员工、客户、供应商、投资者和社区，了解他们对可持续发展的期望和需求。3.风险评估：识别和评估与可持续发展相关的风险，并制定相应的风险管理策略。</w:t>
      </w:r>
    </w:p>
    <w:p>
      <w:pPr>
        <w:jc w:val="left"/>
      </w:pPr>
      <w:r>
        <w:rPr>
          <w:rFonts w:ascii="等线" w:hAnsi="等线"/>
          <w:b w:val="0"/>
          <w:sz w:val="21"/>
        </w:rPr>
        <w:t>二、为实现相关战略目标而制定的计划以及衡量计划进展的定性、定量信息</w:t>
      </w:r>
    </w:p>
    <w:p>
      <w:pPr>
        <w:jc w:val="left"/>
      </w:pPr>
      <w:r>
        <w:rPr>
          <w:rFonts w:ascii="等线" w:hAnsi="等线"/>
          <w:b w:val="0"/>
          <w:sz w:val="21"/>
        </w:rPr>
        <w:t>为了实现可持续发展目标，我们制定了以下具体计划：1.环境目标：到</w:t>
      </w:r>
      <w:r>
        <w:rPr>
          <w:rFonts w:ascii="等线" w:hAnsi="等线"/>
          <w:b w:val="0"/>
          <w:sz w:val="21"/>
          <w:highlight w:val="yellow"/>
        </w:rPr>
        <w:t>[具体年份]</w:t>
      </w:r>
      <w:r>
        <w:rPr>
          <w:rFonts w:ascii="等线" w:hAnsi="等线"/>
          <w:b w:val="0"/>
          <w:sz w:val="21"/>
        </w:rPr>
        <w:t>，将单位产品的二氧化碳排放量降低</w:t>
      </w:r>
      <w:r>
        <w:rPr>
          <w:rFonts w:ascii="等线" w:hAnsi="等线"/>
          <w:b w:val="0"/>
          <w:sz w:val="21"/>
          <w:highlight w:val="yellow"/>
        </w:rPr>
        <w:t>[X]</w:t>
      </w:r>
      <w:r>
        <w:rPr>
          <w:rFonts w:ascii="等线" w:hAnsi="等线"/>
          <w:b w:val="0"/>
          <w:sz w:val="21"/>
        </w:rPr>
        <w:t>%。2.社会目标：到</w:t>
      </w:r>
      <w:r>
        <w:rPr>
          <w:rFonts w:ascii="等线" w:hAnsi="等线"/>
          <w:b w:val="0"/>
          <w:sz w:val="21"/>
          <w:highlight w:val="yellow"/>
        </w:rPr>
        <w:t>[具体年份]</w:t>
      </w:r>
      <w:r>
        <w:rPr>
          <w:rFonts w:ascii="等线" w:hAnsi="等线"/>
          <w:b w:val="0"/>
          <w:sz w:val="21"/>
        </w:rPr>
        <w:t>，员工满意度提高至</w:t>
      </w:r>
      <w:r>
        <w:rPr>
          <w:rFonts w:ascii="等线" w:hAnsi="等线"/>
          <w:b w:val="0"/>
          <w:sz w:val="21"/>
          <w:highlight w:val="yellow"/>
        </w:rPr>
        <w:t>[X]</w:t>
      </w:r>
      <w:r>
        <w:rPr>
          <w:rFonts w:ascii="等线" w:hAnsi="等线"/>
          <w:b w:val="0"/>
          <w:sz w:val="21"/>
        </w:rPr>
        <w:t>%。3.治理目标：加强公司治理结构，提高透明度和合规性。</w:t>
      </w:r>
    </w:p>
    <w:p>
      <w:pPr>
        <w:jc w:val="left"/>
      </w:pPr>
      <w:r>
        <w:rPr>
          <w:rFonts w:ascii="等线" w:hAnsi="等线"/>
          <w:b w:val="0"/>
          <w:sz w:val="21"/>
        </w:rPr>
        <w:t>为了衡量这些计划的进展，我们采用了以下定量指标：1.环境指标：跟踪单位产品的能源消耗、水资源消耗和废弃物产生量等。2.社会指标：定期进行员工满意度调查，统计员工培训小时数和员工流失率等。3.治理指标：评估公司治理结构的有效性，监测合规性情况。</w:t>
      </w:r>
    </w:p>
    <w:p>
      <w:pPr>
        <w:jc w:val="left"/>
      </w:pPr>
      <w:r>
        <w:rPr>
          <w:rFonts w:ascii="等线" w:hAnsi="等线"/>
          <w:b w:val="0"/>
          <w:sz w:val="21"/>
        </w:rPr>
        <w:t>三、对可持续发展相关影响、风险和机遇的评估、判断情况</w:t>
      </w:r>
    </w:p>
    <w:p>
      <w:pPr>
        <w:jc w:val="left"/>
      </w:pPr>
      <w:r>
        <w:rPr>
          <w:rFonts w:ascii="等线" w:hAnsi="等线"/>
          <w:b w:val="0"/>
          <w:sz w:val="21"/>
        </w:rPr>
        <w:t>我们定期进行可持续发展相关影响、风险和机遇的评估，以确保公司能够及时应对变化。评估结果显示，以下是我们面临的主要可持续发展挑战和机遇：1.挑战： - 原材料价格波动对成本的影响。 - 日益严格的环境法规对生产的要求。 - 社会对企业社会责任的期望不断提高。2.机遇： - 新能源汽车市场的快速增长带来的业务机会。 - 消费者对环保产品的需求增加。 - 技术创新为提高生产效率和降低环境影响提供了可能。</w:t>
      </w:r>
    </w:p>
    <w:p>
      <w:pPr>
        <w:jc w:val="left"/>
      </w:pPr>
      <w:r>
        <w:rPr>
          <w:rFonts w:ascii="等线" w:hAnsi="等线"/>
          <w:b w:val="0"/>
          <w:sz w:val="21"/>
        </w:rPr>
        <w:t>基于以上评估，我们制定了相应的应对策略，以抓住机遇并应对挑战。</w:t>
      </w:r>
    </w:p>
    <w:p>
      <w:pPr>
        <w:jc w:val="left"/>
      </w:pPr>
      <w:r>
        <w:rPr>
          <w:rFonts w:ascii="等线" w:hAnsi="等线"/>
          <w:b w:val="0"/>
          <w:sz w:val="21"/>
        </w:rPr>
        <w:t>总之，我们将可持续发展视为公司战略的核心组成部分，并通过有效的战略与决策应对，努力实现经济、环境和社会的可持续发展。我们相信，这将为公司创造长期价值，同时也为社会和环境做出积极贡献。</w:t>
      </w:r>
    </w:p>
    <w:p>
      <w:pPr>
        <w:pStyle w:val="Heading2"/>
      </w:pPr>
      <w:r>
        <w:rPr>
          <w:rFonts w:ascii="等线" w:hAnsi="等线" w:eastAsia="等线"/>
          <w:color w:val="000000"/>
          <w:sz w:val="32"/>
        </w:rPr>
        <w:t>财务影响</w:t>
      </w:r>
    </w:p>
    <w:p>
      <w:pPr>
        <w:jc w:val="left"/>
      </w:pPr>
      <w:r>
        <w:rPr>
          <w:rFonts w:ascii="等线" w:hAnsi="等线"/>
          <w:b w:val="0"/>
          <w:sz w:val="21"/>
        </w:rPr>
        <w:t>可持续发展管理 - 财务影响</w:t>
      </w:r>
    </w:p>
    <w:p>
      <w:pPr>
        <w:jc w:val="left"/>
      </w:pPr>
      <w:r>
        <w:rPr>
          <w:rFonts w:ascii="等线" w:hAnsi="等线"/>
          <w:b w:val="0"/>
          <w:sz w:val="21"/>
        </w:rPr>
        <w:t>在当今的商业环境中，可持续发展已成为企业成功的关键因素之一。作为一家面向国际市场的大型民营汽车零部件企业，我们深知可持续发展对公司财务状况、经营成果和现金流的重要性。因此，我们积极管理可持续发展相关风险和机遇，以确保公司的长期稳定发展。</w:t>
      </w:r>
    </w:p>
    <w:p>
      <w:pPr>
        <w:jc w:val="left"/>
      </w:pPr>
      <w:r>
        <w:rPr>
          <w:rFonts w:ascii="等线" w:hAnsi="等线"/>
          <w:b w:val="0"/>
          <w:sz w:val="21"/>
        </w:rPr>
        <w:t>一、短期财务影响</w:t>
      </w:r>
    </w:p>
    <w:p>
      <w:pPr>
        <w:jc w:val="left"/>
      </w:pPr>
      <w:r>
        <w:rPr>
          <w:rFonts w:ascii="等线" w:hAnsi="等线"/>
          <w:b w:val="0"/>
          <w:sz w:val="21"/>
        </w:rPr>
        <w:t>在短期内，可持续发展相关风险和机遇对公司的财务状况、经营成果和现金流产生了一定的影响。例如，我们在环保方面的投资增加了公司的成本，但同时也提高了公司的声誉和市场竞争力，为公司带来了更多的商业机会。此外，我们在可持续发展方面的努力也有助于公司降低能源消耗和原材料成本，提高生产效率，从而对公司的经营成果产生积极影响。</w:t>
      </w:r>
    </w:p>
    <w:p>
      <w:pPr>
        <w:jc w:val="left"/>
      </w:pPr>
      <w:r>
        <w:rPr>
          <w:rFonts w:ascii="等线" w:hAnsi="等线"/>
          <w:b w:val="0"/>
          <w:sz w:val="21"/>
        </w:rPr>
        <w:t>具体来说，我们预计公司的财务状况在短期内将保持稳定。我们的投资计划将继续支持公司的业务增长，同时我们也将加强成本控制，以确保公司的盈利能力。我们预计公司的经营成果将继续保持增长态势，主要得益于我们在市场份额、产品质量和客户满意度方面的不断提升。我们预计公司的现金流将保持健康，主要得益于我们的良好的财务管理和资金运作能力。</w:t>
      </w:r>
    </w:p>
    <w:p>
      <w:pPr>
        <w:jc w:val="left"/>
      </w:pPr>
      <w:r>
        <w:rPr>
          <w:rFonts w:ascii="等线" w:hAnsi="等线"/>
          <w:b w:val="0"/>
          <w:sz w:val="21"/>
        </w:rPr>
        <w:t>二、中期财务影响</w:t>
      </w:r>
    </w:p>
    <w:p>
      <w:pPr>
        <w:jc w:val="left"/>
      </w:pPr>
      <w:r>
        <w:rPr>
          <w:rFonts w:ascii="等线" w:hAnsi="等线"/>
          <w:b w:val="0"/>
          <w:sz w:val="21"/>
        </w:rPr>
        <w:t>在中期内，可持续发展相关风险和机遇对公司的财务状况、经营成果和现金流将产生更为显著的影响。例如，随着全球对环保和可持续发展的要求不断提高，我们的产品将面临更高的市场需求和价格压力。此外，我们在可持续发展方面的投资也将逐渐产生回报，为公司带来更多的经济效益。</w:t>
      </w:r>
    </w:p>
    <w:p>
      <w:pPr>
        <w:jc w:val="left"/>
      </w:pPr>
      <w:r>
        <w:rPr>
          <w:rFonts w:ascii="等线" w:hAnsi="等线"/>
          <w:b w:val="0"/>
          <w:sz w:val="21"/>
        </w:rPr>
        <w:t>具体来说，我们预计公司的财务状况在中期内将继续保持稳定增长。我们的投资计划将继续支持公司的业务增长，同时我们也将加强成本控制，以确保公司的盈利能力。我们预计公司的经营成果将继续保持增长态势，主要得益于我们在市场份额、产品质量和客户满意度方面的不断提升。我们预计公司的现金流将保持健康，主要得益于我们的良好的财务管理和资金运作能力。</w:t>
      </w:r>
    </w:p>
    <w:p>
      <w:pPr>
        <w:jc w:val="left"/>
      </w:pPr>
      <w:r>
        <w:rPr>
          <w:rFonts w:ascii="等线" w:hAnsi="等线"/>
          <w:b w:val="0"/>
          <w:sz w:val="21"/>
        </w:rPr>
        <w:t>三、长期财务影响</w:t>
      </w:r>
    </w:p>
    <w:p>
      <w:pPr>
        <w:jc w:val="left"/>
      </w:pPr>
      <w:r>
        <w:rPr>
          <w:rFonts w:ascii="等线" w:hAnsi="等线"/>
          <w:b w:val="0"/>
          <w:sz w:val="21"/>
        </w:rPr>
        <w:t>在长期内，可持续发展相关风险和机遇对公司的财务状况、经营成果和现金流将产生深远的影响。例如，随着全球对环保和可持续发展的要求不断提高，我们的产品将面临更高的市场需求和价格压力。此外，我们在可持续发展方面的投资也将逐渐产生回报，为公司带来更多的经济效益。</w:t>
      </w:r>
    </w:p>
    <w:p>
      <w:pPr>
        <w:jc w:val="left"/>
      </w:pPr>
      <w:r>
        <w:rPr>
          <w:rFonts w:ascii="等线" w:hAnsi="等线"/>
          <w:b w:val="0"/>
          <w:sz w:val="21"/>
        </w:rPr>
        <w:t>具体来说，我们预计公司的财务状况在长期内将继续保持稳定增长。我们的投资计划将继续支持公司的业务增长，同时我们也将加强成本控制，以确保公司的盈利能力。我们预计公司的经营成果将继续保持增长态势，主要得益于我们在市场份额、产品质量和客户满意度方面的不断提升。我们预计公司的现金流将保持健康，主要得益于我们的良好的财务管理和资金运作能力。</w:t>
      </w:r>
    </w:p>
    <w:p>
      <w:pPr>
        <w:jc w:val="left"/>
      </w:pPr>
      <w:r>
        <w:rPr>
          <w:rFonts w:ascii="等线" w:hAnsi="等线"/>
          <w:b w:val="0"/>
          <w:sz w:val="21"/>
        </w:rPr>
        <w:t>四、财务影响的定量信息</w:t>
      </w:r>
    </w:p>
    <w:p>
      <w:pPr>
        <w:jc w:val="left"/>
      </w:pPr>
      <w:r>
        <w:rPr>
          <w:rFonts w:ascii="等线" w:hAnsi="等线"/>
          <w:b w:val="0"/>
          <w:sz w:val="21"/>
        </w:rPr>
        <w:t>为了更好地披露可持续发展相关风险和机遇对公司财务状况、经营成果和现金流的影响，我们将提供以下定量信息：</w:t>
      </w:r>
    </w:p>
    <w:p>
      <w:pPr>
        <w:jc w:val="left"/>
      </w:pPr>
      <w:r>
        <w:rPr>
          <w:rFonts w:ascii="等线" w:hAnsi="等线"/>
          <w:b w:val="0"/>
          <w:sz w:val="21"/>
        </w:rPr>
        <w:t>1. 投资计划：我们预计在未来三年内投资</w:t>
      </w:r>
      <w:r>
        <w:rPr>
          <w:rFonts w:ascii="等线" w:hAnsi="等线"/>
          <w:b w:val="0"/>
          <w:sz w:val="21"/>
          <w:highlight w:val="yellow"/>
        </w:rPr>
        <w:t>[具体金额]</w:t>
      </w:r>
      <w:r>
        <w:rPr>
          <w:rFonts w:ascii="等线" w:hAnsi="等线"/>
          <w:b w:val="0"/>
          <w:sz w:val="21"/>
        </w:rPr>
        <w:t>用于可持续发展相关项目，包括环保设施升级、新能源产品研发等。</w:t>
      </w:r>
    </w:p>
    <w:p>
      <w:pPr>
        <w:jc w:val="left"/>
      </w:pPr>
      <w:r>
        <w:rPr>
          <w:rFonts w:ascii="等线" w:hAnsi="等线"/>
          <w:b w:val="0"/>
          <w:sz w:val="21"/>
        </w:rPr>
        <w:t>2. 成本控制：我们预计通过加强成本控制，在未来三年内降低</w:t>
      </w:r>
      <w:r>
        <w:rPr>
          <w:rFonts w:ascii="等线" w:hAnsi="等线"/>
          <w:b w:val="0"/>
          <w:sz w:val="21"/>
          <w:highlight w:val="yellow"/>
        </w:rPr>
        <w:t>[具体金额]</w:t>
      </w:r>
      <w:r>
        <w:rPr>
          <w:rFonts w:ascii="等线" w:hAnsi="等线"/>
          <w:b w:val="0"/>
          <w:sz w:val="21"/>
        </w:rPr>
        <w:t>的成本。</w:t>
      </w:r>
    </w:p>
    <w:p>
      <w:pPr>
        <w:jc w:val="left"/>
      </w:pPr>
      <w:r>
        <w:rPr>
          <w:rFonts w:ascii="等线" w:hAnsi="等线"/>
          <w:b w:val="0"/>
          <w:sz w:val="21"/>
        </w:rPr>
        <w:t>3. 市场份额：我们预计在未来三年内将公司的市场份额提高</w:t>
      </w:r>
      <w:r>
        <w:rPr>
          <w:rFonts w:ascii="等线" w:hAnsi="等线"/>
          <w:b w:val="0"/>
          <w:sz w:val="21"/>
          <w:highlight w:val="yellow"/>
        </w:rPr>
        <w:t>[具体百分比]</w:t>
      </w:r>
      <w:r>
        <w:rPr>
          <w:rFonts w:ascii="等线" w:hAnsi="等线"/>
          <w:b w:val="0"/>
          <w:sz w:val="21"/>
        </w:rPr>
        <w:t>。</w:t>
      </w:r>
    </w:p>
    <w:p>
      <w:pPr>
        <w:jc w:val="left"/>
      </w:pPr>
      <w:r>
        <w:rPr>
          <w:rFonts w:ascii="等线" w:hAnsi="等线"/>
          <w:b w:val="0"/>
          <w:sz w:val="21"/>
        </w:rPr>
        <w:t>4. 产品质量：我们预计在未来三年内将公司的产品质量提高</w:t>
      </w:r>
      <w:r>
        <w:rPr>
          <w:rFonts w:ascii="等线" w:hAnsi="等线"/>
          <w:b w:val="0"/>
          <w:sz w:val="21"/>
          <w:highlight w:val="yellow"/>
        </w:rPr>
        <w:t>[具体百分比]</w:t>
      </w:r>
      <w:r>
        <w:rPr>
          <w:rFonts w:ascii="等线" w:hAnsi="等线"/>
          <w:b w:val="0"/>
          <w:sz w:val="21"/>
        </w:rPr>
        <w:t>。</w:t>
      </w:r>
    </w:p>
    <w:p>
      <w:pPr>
        <w:jc w:val="left"/>
      </w:pPr>
      <w:r>
        <w:rPr>
          <w:rFonts w:ascii="等线" w:hAnsi="等线"/>
          <w:b w:val="0"/>
          <w:sz w:val="21"/>
        </w:rPr>
        <w:t>5. 客户满意度：我们预计在未来三年内将公司的客户满意度提高</w:t>
      </w:r>
      <w:r>
        <w:rPr>
          <w:rFonts w:ascii="等线" w:hAnsi="等线"/>
          <w:b w:val="0"/>
          <w:sz w:val="21"/>
          <w:highlight w:val="yellow"/>
        </w:rPr>
        <w:t>[具体百分比]</w:t>
      </w:r>
      <w:r>
        <w:rPr>
          <w:rFonts w:ascii="等线" w:hAnsi="等线"/>
          <w:b w:val="0"/>
          <w:sz w:val="21"/>
        </w:rPr>
        <w:t>。</w:t>
      </w:r>
    </w:p>
    <w:p>
      <w:pPr>
        <w:jc w:val="left"/>
      </w:pPr>
      <w:r>
        <w:rPr>
          <w:rFonts w:ascii="等线" w:hAnsi="等线"/>
          <w:b w:val="0"/>
          <w:sz w:val="21"/>
        </w:rPr>
        <w:t>五、财务影响的定性信息</w:t>
      </w:r>
    </w:p>
    <w:p>
      <w:pPr>
        <w:jc w:val="left"/>
      </w:pPr>
      <w:r>
        <w:rPr>
          <w:rFonts w:ascii="等线" w:hAnsi="等线"/>
          <w:b w:val="0"/>
          <w:sz w:val="21"/>
        </w:rPr>
        <w:t>除了提供定量信息外，我们还将提供以下定性信息，以帮助投资者更好地了解可持续发展相关风险和机遇对公司财务状况、经营成果和现金流的影响：</w:t>
      </w:r>
    </w:p>
    <w:p>
      <w:pPr>
        <w:jc w:val="left"/>
      </w:pPr>
      <w:r>
        <w:rPr>
          <w:rFonts w:ascii="等线" w:hAnsi="等线"/>
          <w:b w:val="0"/>
          <w:sz w:val="21"/>
        </w:rPr>
        <w:t>1. 环保法规：随着全球对环保法规的要求不断提高，我们的产品将面临更高的市场需求和价格压力。我们将积极应对环保法规的要求，加强环保设施升级和新能源产品研发，以提高公司的市场竞争力。</w:t>
      </w:r>
    </w:p>
    <w:p>
      <w:pPr>
        <w:jc w:val="left"/>
      </w:pPr>
      <w:r>
        <w:rPr>
          <w:rFonts w:ascii="等线" w:hAnsi="等线"/>
          <w:b w:val="0"/>
          <w:sz w:val="21"/>
        </w:rPr>
        <w:t>2. 市场趋势：随着全球对可持续发展的要求不断提高，新能源汽车市场将迎来快速发展。我们将积极把握市场趋势，加强新能源产品研发和市场推广，以提高公司的市场份额和经营成果。</w:t>
      </w:r>
    </w:p>
    <w:p>
      <w:pPr>
        <w:jc w:val="left"/>
      </w:pPr>
      <w:r>
        <w:rPr>
          <w:rFonts w:ascii="等线" w:hAnsi="等线"/>
          <w:b w:val="0"/>
          <w:sz w:val="21"/>
        </w:rPr>
        <w:t>3. 技术创新：技术创新是推动可持续发展的关键因素之一。我们将加强技术创新，提高产品质量和生产效率，以降低成本和提高公司的盈利能力。</w:t>
      </w:r>
    </w:p>
    <w:p>
      <w:pPr>
        <w:jc w:val="left"/>
      </w:pPr>
      <w:r>
        <w:rPr>
          <w:rFonts w:ascii="等线" w:hAnsi="等线"/>
          <w:b w:val="0"/>
          <w:sz w:val="21"/>
        </w:rPr>
        <w:t>4. 人才培养：人才是推动可持续发展的关键因素之一。我们将加强人才培养，提高员工的环保意识和可持续发展能力，以推动公司的可持续发展。</w:t>
      </w:r>
    </w:p>
    <w:p>
      <w:pPr>
        <w:jc w:val="left"/>
      </w:pPr>
      <w:r>
        <w:rPr>
          <w:rFonts w:ascii="等线" w:hAnsi="等线"/>
          <w:b w:val="0"/>
          <w:sz w:val="21"/>
        </w:rPr>
        <w:t>六、未披露定量信息的原因</w:t>
      </w:r>
    </w:p>
    <w:p>
      <w:pPr>
        <w:jc w:val="left"/>
      </w:pPr>
      <w:r>
        <w:rPr>
          <w:rFonts w:ascii="等线" w:hAnsi="等线"/>
          <w:b w:val="0"/>
          <w:sz w:val="21"/>
        </w:rPr>
        <w:t>由于可持续发展相关风险和机遇对公司财务状况、经营成果和现金流的影响具有不确定性，我们目前无法提供具体的定量信息。我们将继续关注可持续发展相关风险和机遇的变化，并在未来的报告中提供更多的定量信息。</w:t>
      </w:r>
    </w:p>
    <w:p>
      <w:pPr>
        <w:jc w:val="left"/>
      </w:pPr>
      <w:r>
        <w:rPr>
          <w:rFonts w:ascii="等线" w:hAnsi="等线"/>
          <w:b w:val="0"/>
          <w:sz w:val="21"/>
        </w:rPr>
        <w:t>七、披露的工作计划、进度和时间表</w:t>
      </w:r>
    </w:p>
    <w:p>
      <w:pPr>
        <w:jc w:val="left"/>
      </w:pPr>
      <w:r>
        <w:rPr>
          <w:rFonts w:ascii="等线" w:hAnsi="等线"/>
          <w:b w:val="0"/>
          <w:sz w:val="21"/>
        </w:rPr>
        <w:t>我们将按照以下工作计划、进度和时间表披露可持续发展相关风险和机遇对公司财务状况、经营成果和现金流的影响：</w:t>
      </w:r>
    </w:p>
    <w:p>
      <w:pPr>
        <w:jc w:val="left"/>
      </w:pPr>
      <w:r>
        <w:rPr>
          <w:rFonts w:ascii="等线" w:hAnsi="等线"/>
          <w:b w:val="0"/>
          <w:sz w:val="21"/>
        </w:rPr>
        <w:t>1. 工作计划：我们将建立可持续发展管理体系，加强对可持续发展相关风险和机遇的管理和监控。我们将定期评估可持续发展相关风险和机遇对公司财务状况、经营成果和现金流的影响，并及时调整公司的战略和计划。</w:t>
      </w:r>
    </w:p>
    <w:p>
      <w:pPr>
        <w:jc w:val="left"/>
      </w:pPr>
      <w:r>
        <w:rPr>
          <w:rFonts w:ascii="等线" w:hAnsi="等线"/>
          <w:b w:val="0"/>
          <w:sz w:val="21"/>
        </w:rPr>
        <w:t>2. 进度和时间表：我们将在每年的年度报告中披露可持续发展相关风险和机遇对公司财务状况、经营成果和现金流的影响。我们将在报告中提供具体的定量信息和定性信息，以帮助投资者更好地了解公司的可持续发展情况。</w:t>
      </w:r>
    </w:p>
    <w:p>
      <w:pPr>
        <w:jc w:val="left"/>
      </w:pPr>
      <w:r>
        <w:rPr>
          <w:rFonts w:ascii="等线" w:hAnsi="等线"/>
          <w:b w:val="0"/>
          <w:sz w:val="21"/>
        </w:rPr>
        <w:t>总之，作为一家面向国际市场的大型民营汽车零部件企业，我们将积极管理可持续发展相关风险和机遇，以确保公司的长期稳定发展。我们将继续加强对可持续发展相关风险和机遇的管理和监控，及时调整公司的战略和计划，以适应市场变化和客户需求。我们将定期评估可持续发展相关风险和机遇对公司财务状况、经营成果和现金流的影响，并及时披露相关信息，以帮助投资者做出明智的投资决策。</w:t>
      </w:r>
    </w:p>
    <w:p>
      <w:pPr>
        <w:pStyle w:val="Heading2"/>
      </w:pPr>
      <w:r>
        <w:rPr>
          <w:rFonts w:ascii="等线" w:hAnsi="等线" w:eastAsia="等线"/>
          <w:color w:val="000000"/>
          <w:sz w:val="32"/>
        </w:rPr>
        <w:t>战略适应</w:t>
      </w:r>
    </w:p>
    <w:p>
      <w:pPr>
        <w:jc w:val="left"/>
      </w:pPr>
      <w:r>
        <w:rPr>
          <w:rFonts w:ascii="等线" w:hAnsi="等线"/>
          <w:b w:val="0"/>
          <w:sz w:val="21"/>
        </w:rPr>
        <w:t>可持续发展管理-战略适应</w:t>
      </w:r>
    </w:p>
    <w:p>
      <w:pPr>
        <w:jc w:val="left"/>
      </w:pPr>
      <w:r>
        <w:rPr>
          <w:rFonts w:ascii="等线" w:hAnsi="等线"/>
          <w:b w:val="0"/>
          <w:sz w:val="21"/>
        </w:rPr>
        <w:t>一、评估方式</w:t>
      </w:r>
    </w:p>
    <w:p>
      <w:pPr>
        <w:jc w:val="left"/>
      </w:pPr>
      <w:r>
        <w:rPr>
          <w:rFonts w:ascii="等线" w:hAnsi="等线"/>
          <w:b w:val="0"/>
          <w:sz w:val="21"/>
        </w:rPr>
        <w:t>为了评估公司的战略及商业模式对可持续发展相关风险的适应性，我们采用了以下方法：</w:t>
      </w:r>
    </w:p>
    <w:p>
      <w:pPr>
        <w:jc w:val="left"/>
      </w:pPr>
      <w:r>
        <w:rPr>
          <w:rFonts w:ascii="等线" w:hAnsi="等线"/>
          <w:b w:val="0"/>
          <w:sz w:val="21"/>
        </w:rPr>
        <w:t>1. 情景分析：通过构建不同的未来情景，包括乐观、基准和悲观情景，来评估公司在不同情况下的战略适应性。</w:t>
      </w:r>
    </w:p>
    <w:p>
      <w:pPr>
        <w:jc w:val="left"/>
      </w:pPr>
      <w:r>
        <w:rPr>
          <w:rFonts w:ascii="等线" w:hAnsi="等线"/>
          <w:b w:val="0"/>
          <w:sz w:val="21"/>
        </w:rPr>
        <w:t>2. 风险评估：对公司面临的可持续发展相关风险进行识别、评估和优先级排序，以确定哪些风险对公司的战略和商业模式影响最大。</w:t>
      </w:r>
    </w:p>
    <w:p>
      <w:pPr>
        <w:jc w:val="left"/>
      </w:pPr>
      <w:r>
        <w:rPr>
          <w:rFonts w:ascii="等线" w:hAnsi="等线"/>
          <w:b w:val="0"/>
          <w:sz w:val="21"/>
        </w:rPr>
        <w:t>3. 利益相关者参与：与公司的利益相关者，包括员工、客户、供应商、投资者和社区等进行沟通和互动，以了解他们对公司可持续发展的期望和需求，并将这些反馈纳入到公司的战略规划中。</w:t>
      </w:r>
    </w:p>
    <w:p>
      <w:pPr>
        <w:jc w:val="left"/>
      </w:pPr>
      <w:r>
        <w:rPr>
          <w:rFonts w:ascii="等线" w:hAnsi="等线"/>
          <w:b w:val="0"/>
          <w:sz w:val="21"/>
        </w:rPr>
        <w:t>4. 对标分析：与同行业的其他公司进行对标分析，以了解公司在可持续发展方面的表现和差距，并借鉴其他公司的最佳实践经验。</w:t>
      </w:r>
    </w:p>
    <w:p>
      <w:pPr>
        <w:jc w:val="left"/>
      </w:pPr>
      <w:r>
        <w:rPr>
          <w:rFonts w:ascii="等线" w:hAnsi="等线"/>
          <w:b w:val="0"/>
          <w:sz w:val="21"/>
        </w:rPr>
        <w:t>二、时间范围</w:t>
      </w:r>
    </w:p>
    <w:p>
      <w:pPr>
        <w:jc w:val="left"/>
      </w:pPr>
      <w:r>
        <w:rPr>
          <w:rFonts w:ascii="等线" w:hAnsi="等线"/>
          <w:b w:val="0"/>
          <w:sz w:val="21"/>
        </w:rPr>
        <w:t>我们的评估时间范围为未来 5-10 年，这是因为可持续发展相关风险的影响通常具有长期性和不确定性，需要公司有足够的时间来调整战略和商业模式，以适应不断变化的环境。</w:t>
      </w:r>
    </w:p>
    <w:p>
      <w:pPr>
        <w:jc w:val="left"/>
      </w:pPr>
      <w:r>
        <w:rPr>
          <w:rFonts w:ascii="等线" w:hAnsi="等线"/>
          <w:b w:val="0"/>
          <w:sz w:val="21"/>
        </w:rPr>
        <w:t>三、评估结果</w:t>
      </w:r>
    </w:p>
    <w:p>
      <w:pPr>
        <w:jc w:val="left"/>
      </w:pPr>
      <w:r>
        <w:rPr>
          <w:rFonts w:ascii="等线" w:hAnsi="等线"/>
          <w:b w:val="0"/>
          <w:sz w:val="21"/>
        </w:rPr>
        <w:t>通过以上评估方式，我们得出以下结论：</w:t>
      </w:r>
    </w:p>
    <w:p>
      <w:pPr>
        <w:jc w:val="left"/>
      </w:pPr>
      <w:r>
        <w:rPr>
          <w:rFonts w:ascii="等线" w:hAnsi="等线"/>
          <w:b w:val="0"/>
          <w:sz w:val="21"/>
        </w:rPr>
        <w:t>1. 公司的战略及商业模式对可持续发展相关风险具有一定的适应性：公司的战略目标是成为全球领先的汽车零部件供应商，通过不断创新和提高产品质量，为客户提供优质的产品和服务。公司的商业模式是以客户为中心，通过与客户建立长期稳定的合作关系，实现共同发展。这种战略和商业模式与可持续发展的理念相契合，能够帮助公司应对可持续发展相关风险。</w:t>
      </w:r>
    </w:p>
    <w:p>
      <w:pPr>
        <w:jc w:val="left"/>
      </w:pPr>
      <w:r>
        <w:rPr>
          <w:rFonts w:ascii="等线" w:hAnsi="等线"/>
          <w:b w:val="0"/>
          <w:sz w:val="21"/>
        </w:rPr>
        <w:t>2. 公司在可持续发展方面面临一些挑战：例如，随着全球气候变化的加剧，公司需要不断提高产品的能效和环保性能，以满足客户和市场的需求。此外，公司还需要加强对供应链的管理，确保原材料的可持续供应和生产过程的环保合规。</w:t>
      </w:r>
    </w:p>
    <w:p>
      <w:pPr>
        <w:jc w:val="left"/>
      </w:pPr>
      <w:r>
        <w:rPr>
          <w:rFonts w:ascii="等线" w:hAnsi="等线"/>
          <w:b w:val="0"/>
          <w:sz w:val="21"/>
        </w:rPr>
        <w:t>3. 公司制定了一系列应对措施：为了应对可持续发展相关风险，公司制定了以下措施：</w:t>
      </w:r>
    </w:p>
    <w:p>
      <w:pPr>
        <w:ind w:left="480"/>
        <w:jc w:val="left"/>
      </w:pPr>
      <w:r>
        <w:rPr>
          <w:rFonts w:ascii="等线" w:hAnsi="等线"/>
          <w:b w:val="0"/>
          <w:sz w:val="21"/>
        </w:rPr>
        <w:t>◦ 加强研发投入：公司将加大对研发的投入，不断推出具有创新性和环保性能的产品，以满足客户和市场的需求。</w:t>
      </w:r>
    </w:p>
    <w:p>
      <w:pPr>
        <w:ind w:left="480"/>
        <w:jc w:val="left"/>
      </w:pPr>
      <w:r>
        <w:rPr>
          <w:rFonts w:ascii="等线" w:hAnsi="等线"/>
          <w:b w:val="0"/>
          <w:sz w:val="21"/>
        </w:rPr>
        <w:t>◦ 优化供应链管理：公司将加强对供应链的管理，与供应商建立长期稳定的合作关系，确保原材料的可持续供应和生产过程的环保合规。</w:t>
      </w:r>
    </w:p>
    <w:p>
      <w:pPr>
        <w:ind w:left="480"/>
        <w:jc w:val="left"/>
      </w:pPr>
      <w:r>
        <w:rPr>
          <w:rFonts w:ascii="等线" w:hAnsi="等线"/>
          <w:b w:val="0"/>
          <w:sz w:val="21"/>
        </w:rPr>
        <w:t>◦ 提高员工环保意识：公司将加强对员工的环保培训，提高员工的环保意识和责任感，鼓励员工积极参与公司的可持续发展工作。</w:t>
      </w:r>
    </w:p>
    <w:p>
      <w:pPr>
        <w:ind w:left="480"/>
        <w:jc w:val="left"/>
      </w:pPr>
      <w:r>
        <w:rPr>
          <w:rFonts w:ascii="等线" w:hAnsi="等线"/>
          <w:b w:val="0"/>
          <w:sz w:val="21"/>
        </w:rPr>
        <w:t>◦ 加强与利益相关者的沟通和合作：公司将加强与利益相关者的沟通和合作，及时了解他们对公司可持续发展的期望和需求，并将这些反馈纳入到公司的战略规划中。</w:t>
      </w:r>
    </w:p>
    <w:p>
      <w:pPr>
        <w:jc w:val="left"/>
      </w:pPr>
      <w:r>
        <w:rPr>
          <w:rFonts w:ascii="等线" w:hAnsi="等线"/>
          <w:b w:val="0"/>
          <w:sz w:val="21"/>
        </w:rPr>
        <w:t>四、未来展望</w:t>
      </w:r>
    </w:p>
    <w:p>
      <w:pPr>
        <w:jc w:val="left"/>
      </w:pPr>
      <w:r>
        <w:rPr>
          <w:rFonts w:ascii="等线" w:hAnsi="等线"/>
          <w:b w:val="0"/>
          <w:sz w:val="21"/>
        </w:rPr>
        <w:t>未来，我们将继续关注可持续发展相关风险的变化，并及时调整公司的战略和商业模式，以确保公司的可持续发展。同时，我们也将积极履行企业社会责任，为社会和环境做出更大的贡献。</w:t>
      </w:r>
    </w:p>
    <w:p>
      <w:pPr>
        <w:pStyle w:val="Heading2"/>
      </w:pPr>
      <w:r>
        <w:rPr>
          <w:rFonts w:ascii="等线" w:hAnsi="等线" w:eastAsia="等线"/>
          <w:color w:val="000000"/>
          <w:sz w:val="32"/>
        </w:rPr>
        <w:t>风险机遇影响等应对流程</w:t>
      </w:r>
    </w:p>
    <w:p>
      <w:pPr>
        <w:jc w:val="left"/>
      </w:pPr>
      <w:r>
        <w:rPr>
          <w:rFonts w:ascii="等线" w:hAnsi="等线"/>
          <w:b w:val="0"/>
          <w:sz w:val="21"/>
        </w:rPr>
        <w:t>我们采用了多种方法来识别、评估和管理可持续发展相关的影响、风险和机遇。以下是我们的具体流程：</w:t>
      </w:r>
    </w:p>
    <w:p>
      <w:pPr>
        <w:jc w:val="left"/>
      </w:pPr>
      <w:r>
        <w:rPr>
          <w:rFonts w:ascii="等线" w:hAnsi="等线"/>
          <w:b w:val="0"/>
          <w:sz w:val="21"/>
        </w:rPr>
        <w:t>一、识别和评估方法</w:t>
      </w:r>
    </w:p>
    <w:p>
      <w:pPr>
        <w:jc w:val="left"/>
      </w:pPr>
      <w:r>
        <w:rPr>
          <w:rFonts w:ascii="等线" w:hAnsi="等线"/>
          <w:b w:val="0"/>
          <w:sz w:val="21"/>
        </w:rPr>
        <w:t>我们使用了以下方法来识别和评估可持续发展相关的影响、风险和机遇：1.环境扫描：我们定期对宏观环境、行业趋势和竞争对手进行分析，以识别潜在的影响、风险和机遇。2.利益相关者参与：我们与利益相关者进行沟通，包括员工、客户、供应商、投资者和社区，以了解他们对可持续发展的期望和关注。3.风险评估矩阵：我们使用风险评估矩阵来评估影响、风险和机遇的可能性和影响程度。4.情景分析：我们进行情景分析，以评估不同情况下的可持续发展影响、风险和机遇。</w:t>
      </w:r>
    </w:p>
    <w:p>
      <w:pPr>
        <w:jc w:val="left"/>
      </w:pPr>
      <w:r>
        <w:rPr>
          <w:rFonts w:ascii="等线" w:hAnsi="等线"/>
          <w:b w:val="0"/>
          <w:sz w:val="21"/>
        </w:rPr>
        <w:t>二、优先级排序及排序标准</w:t>
      </w:r>
    </w:p>
    <w:p>
      <w:pPr>
        <w:jc w:val="left"/>
      </w:pPr>
      <w:r>
        <w:rPr>
          <w:rFonts w:ascii="等线" w:hAnsi="等线"/>
          <w:b w:val="0"/>
          <w:sz w:val="21"/>
        </w:rPr>
        <w:t>我们根据以下标准对可持续发展相关的影响、风险和机遇进行优先级排序：1.可能性：影响、风险和机遇发生的可能性。2.影响程度：影响、风险和机遇对公司业务和声誉的影响程度。3.紧急程度：影响、风险和机遇需要立即采取行动的紧急程度。4.可控性：公司对影响、风险和机遇的控制程度。</w:t>
      </w:r>
    </w:p>
    <w:p>
      <w:pPr>
        <w:jc w:val="left"/>
      </w:pPr>
      <w:r>
        <w:rPr>
          <w:rFonts w:ascii="等线" w:hAnsi="等线"/>
          <w:b w:val="0"/>
          <w:sz w:val="21"/>
        </w:rPr>
        <w:t>三、监测机制</w:t>
      </w:r>
    </w:p>
    <w:p>
      <w:pPr>
        <w:jc w:val="left"/>
      </w:pPr>
      <w:r>
        <w:rPr>
          <w:rFonts w:ascii="等线" w:hAnsi="等线"/>
          <w:b w:val="0"/>
          <w:sz w:val="21"/>
        </w:rPr>
        <w:t>我们建立了以下监测机制来监测可持续发展相关的影响、风险和机遇：1.关键绩效指标（KPI）：我们设定了一系列 KPI，以监测可持续发展目标的进展情况。2.定期报告：我们定期向管理层和利益相关者报告可持续发展相关的影响、风险和机遇的监测情况。3.内部审计：我们定期进行内部审计，以确保可持续发展管理流程的有效性。4.应急计划：我们制定了应急计划，以应对可能出现的可持续发展相关的影响、风险和机遇。</w:t>
      </w:r>
    </w:p>
    <w:p>
      <w:pPr>
        <w:jc w:val="left"/>
      </w:pPr>
      <w:r>
        <w:rPr>
          <w:rFonts w:ascii="等线" w:hAnsi="等线"/>
          <w:b w:val="0"/>
          <w:sz w:val="21"/>
        </w:rPr>
        <w:t>四、融入公司内部管理流程</w:t>
      </w:r>
    </w:p>
    <w:p>
      <w:pPr>
        <w:jc w:val="left"/>
      </w:pPr>
      <w:r>
        <w:rPr>
          <w:rFonts w:ascii="等线" w:hAnsi="等线"/>
          <w:b w:val="0"/>
          <w:sz w:val="21"/>
        </w:rPr>
        <w:t>我们将可持续发展相关的影响、风险和机遇管理流程融入公司的内部管理流程中，具体包括：1.战略规划：我们将可持续发展目标纳入公司的战略规划中，以确保公司的长期发展与可持续发展目标相一致。2.风险管理：我们将可持续发展相关的风险纳入公司的风险管理流程中，以确保公司能够有效地应对这些风险。3.投资决策：我们在投资决策过程中考虑可持续发展因素，以确保投资项目符合公司的可持续发展目标。4.供应链管理：我们将可持续发展要求纳入供应商评估和选择过程中，以确保供应商符合公司的可持续发展标准。</w:t>
      </w:r>
    </w:p>
    <w:p>
      <w:pPr>
        <w:jc w:val="left"/>
      </w:pPr>
      <w:r>
        <w:rPr>
          <w:rFonts w:ascii="等线" w:hAnsi="等线"/>
          <w:b w:val="0"/>
          <w:sz w:val="21"/>
        </w:rPr>
        <w:t>五、调整情况</w:t>
      </w:r>
    </w:p>
    <w:p>
      <w:pPr>
        <w:jc w:val="left"/>
      </w:pPr>
      <w:r>
        <w:rPr>
          <w:rFonts w:ascii="等线" w:hAnsi="等线"/>
          <w:b w:val="0"/>
          <w:sz w:val="21"/>
        </w:rPr>
        <w:t>在报告期内，我们对可持续发展相关的影响、风险和机遇管理流程进行了以下调整：1.加强了对气候变化风险的评估和管理：我们增加了对气候变化风险的评估频率，并制定了相应的应对措施。2.优化了供应链管理流程：我们加强了对供应商的可持续发展要求，并建立了供应商可持续发展评估体系。3.完善了内部审计流程：我们增加了对可持续发展管理流程的审计内容，以确保其有效性。</w:t>
      </w:r>
    </w:p>
    <w:p>
      <w:pPr>
        <w:jc w:val="left"/>
      </w:pPr>
      <w:r>
        <w:rPr>
          <w:rFonts w:ascii="等线" w:hAnsi="等线"/>
          <w:b w:val="0"/>
          <w:sz w:val="21"/>
        </w:rPr>
        <w:t>通过以上流程，我们能够有效地识别、评估和管理可持续发展相关的影响、风险和机遇，为公司的可持续发展提供有力保障。</w:t>
      </w:r>
    </w:p>
    <w:p>
      <w:pPr>
        <w:pStyle w:val="Heading2"/>
      </w:pPr>
      <w:r>
        <w:rPr>
          <w:rFonts w:ascii="等线" w:hAnsi="等线" w:eastAsia="等线"/>
          <w:color w:val="000000"/>
          <w:sz w:val="32"/>
        </w:rPr>
        <w:t>目标与指标披露管理流程</w:t>
      </w:r>
    </w:p>
    <w:p>
      <w:pPr>
        <w:jc w:val="left"/>
      </w:pPr>
      <w:r>
        <w:rPr>
          <w:rFonts w:ascii="等线" w:hAnsi="等线"/>
          <w:b w:val="0"/>
          <w:sz w:val="21"/>
        </w:rPr>
        <w:t>可持续发展管理-目标与指标披露管理流程</w:t>
      </w:r>
    </w:p>
    <w:p>
      <w:pPr>
        <w:jc w:val="left"/>
      </w:pPr>
      <w:r>
        <w:rPr>
          <w:rFonts w:ascii="等线" w:hAnsi="等线"/>
          <w:b w:val="0"/>
          <w:sz w:val="21"/>
        </w:rPr>
        <w:t>一、目标设定</w:t>
      </w:r>
    </w:p>
    <w:p>
      <w:pPr>
        <w:jc w:val="left"/>
      </w:pPr>
      <w:r>
        <w:rPr>
          <w:rFonts w:ascii="等线" w:hAnsi="等线"/>
          <w:b w:val="0"/>
          <w:sz w:val="21"/>
        </w:rPr>
        <w:t>1. 环境目标：</w:t>
      </w:r>
    </w:p>
    <w:p>
      <w:pPr>
        <w:ind w:left="480"/>
        <w:jc w:val="left"/>
      </w:pPr>
      <w:r>
        <w:rPr>
          <w:rFonts w:ascii="等线" w:hAnsi="等线"/>
          <w:b w:val="0"/>
          <w:sz w:val="21"/>
        </w:rPr>
        <w:t>◦ 温室气体排放：到</w:t>
      </w:r>
      <w:r>
        <w:rPr>
          <w:rFonts w:ascii="等线" w:hAnsi="等线"/>
          <w:b w:val="0"/>
          <w:sz w:val="21"/>
          <w:highlight w:val="yellow"/>
        </w:rPr>
        <w:t>[具体年份]</w:t>
      </w:r>
      <w:r>
        <w:rPr>
          <w:rFonts w:ascii="等线" w:hAnsi="等线"/>
          <w:b w:val="0"/>
          <w:sz w:val="21"/>
        </w:rPr>
        <w:t>，将范围 1 和范围 2 的温室气体排放量减少</w:t>
      </w:r>
      <w:r>
        <w:rPr>
          <w:rFonts w:ascii="等线" w:hAnsi="等线"/>
          <w:b w:val="0"/>
          <w:sz w:val="21"/>
          <w:highlight w:val="yellow"/>
        </w:rPr>
        <w:t>[X]</w:t>
      </w:r>
      <w:r>
        <w:rPr>
          <w:rFonts w:ascii="等线" w:hAnsi="等线"/>
          <w:b w:val="0"/>
          <w:sz w:val="21"/>
        </w:rPr>
        <w:t>%。</w:t>
      </w:r>
    </w:p>
    <w:p>
      <w:pPr>
        <w:ind w:left="480"/>
        <w:jc w:val="left"/>
      </w:pPr>
      <w:r>
        <w:rPr>
          <w:rFonts w:ascii="等线" w:hAnsi="等线"/>
          <w:b w:val="0"/>
          <w:sz w:val="21"/>
        </w:rPr>
        <w:t>◦ 能源消耗：到</w:t>
      </w:r>
      <w:r>
        <w:rPr>
          <w:rFonts w:ascii="等线" w:hAnsi="等线"/>
          <w:b w:val="0"/>
          <w:sz w:val="21"/>
          <w:highlight w:val="yellow"/>
        </w:rPr>
        <w:t>[具体年份]</w:t>
      </w:r>
      <w:r>
        <w:rPr>
          <w:rFonts w:ascii="等线" w:hAnsi="等线"/>
          <w:b w:val="0"/>
          <w:sz w:val="21"/>
        </w:rPr>
        <w:t>，将单位产品的能源消耗降低</w:t>
      </w:r>
      <w:r>
        <w:rPr>
          <w:rFonts w:ascii="等线" w:hAnsi="等线"/>
          <w:b w:val="0"/>
          <w:sz w:val="21"/>
          <w:highlight w:val="yellow"/>
        </w:rPr>
        <w:t>[X]</w:t>
      </w:r>
      <w:r>
        <w:rPr>
          <w:rFonts w:ascii="等线" w:hAnsi="等线"/>
          <w:b w:val="0"/>
          <w:sz w:val="21"/>
        </w:rPr>
        <w:t>%。</w:t>
      </w:r>
    </w:p>
    <w:p>
      <w:pPr>
        <w:ind w:left="480"/>
        <w:jc w:val="left"/>
      </w:pPr>
      <w:r>
        <w:rPr>
          <w:rFonts w:ascii="等线" w:hAnsi="等线"/>
          <w:b w:val="0"/>
          <w:sz w:val="21"/>
        </w:rPr>
        <w:t>◦ 水资源管理：到</w:t>
      </w:r>
      <w:r>
        <w:rPr>
          <w:rFonts w:ascii="等线" w:hAnsi="等线"/>
          <w:b w:val="0"/>
          <w:sz w:val="21"/>
          <w:highlight w:val="yellow"/>
        </w:rPr>
        <w:t>[具体年份]</w:t>
      </w:r>
      <w:r>
        <w:rPr>
          <w:rFonts w:ascii="等线" w:hAnsi="等线"/>
          <w:b w:val="0"/>
          <w:sz w:val="21"/>
        </w:rPr>
        <w:t>，将单位产品的新鲜水消耗量降低</w:t>
      </w:r>
      <w:r>
        <w:rPr>
          <w:rFonts w:ascii="等线" w:hAnsi="等线"/>
          <w:b w:val="0"/>
          <w:sz w:val="21"/>
          <w:highlight w:val="yellow"/>
        </w:rPr>
        <w:t>[X]</w:t>
      </w:r>
      <w:r>
        <w:rPr>
          <w:rFonts w:ascii="等线" w:hAnsi="等线"/>
          <w:b w:val="0"/>
          <w:sz w:val="21"/>
        </w:rPr>
        <w:t>%。</w:t>
      </w:r>
    </w:p>
    <w:p>
      <w:pPr>
        <w:ind w:left="480"/>
        <w:jc w:val="left"/>
      </w:pPr>
      <w:r>
        <w:rPr>
          <w:rFonts w:ascii="等线" w:hAnsi="等线"/>
          <w:b w:val="0"/>
          <w:sz w:val="21"/>
        </w:rPr>
        <w:t>◦ 废弃物管理：到</w:t>
      </w:r>
      <w:r>
        <w:rPr>
          <w:rFonts w:ascii="等线" w:hAnsi="等线"/>
          <w:b w:val="0"/>
          <w:sz w:val="21"/>
          <w:highlight w:val="yellow"/>
        </w:rPr>
        <w:t>[具体年份]</w:t>
      </w:r>
      <w:r>
        <w:rPr>
          <w:rFonts w:ascii="等线" w:hAnsi="等线"/>
          <w:b w:val="0"/>
          <w:sz w:val="21"/>
        </w:rPr>
        <w:t>，将废弃物的产生量减少</w:t>
      </w:r>
      <w:r>
        <w:rPr>
          <w:rFonts w:ascii="等线" w:hAnsi="等线"/>
          <w:b w:val="0"/>
          <w:sz w:val="21"/>
          <w:highlight w:val="yellow"/>
        </w:rPr>
        <w:t>[X]</w:t>
      </w:r>
      <w:r>
        <w:rPr>
          <w:rFonts w:ascii="等线" w:hAnsi="等线"/>
          <w:b w:val="0"/>
          <w:sz w:val="21"/>
        </w:rPr>
        <w:t>%，并确保</w:t>
      </w:r>
      <w:r>
        <w:rPr>
          <w:rFonts w:ascii="等线" w:hAnsi="等线"/>
          <w:b w:val="0"/>
          <w:sz w:val="21"/>
          <w:highlight w:val="yellow"/>
        </w:rPr>
        <w:t>[X]</w:t>
      </w:r>
      <w:r>
        <w:rPr>
          <w:rFonts w:ascii="等线" w:hAnsi="等线"/>
          <w:b w:val="0"/>
          <w:sz w:val="21"/>
        </w:rPr>
        <w:t>%的废弃物得到回收或再利用。</w:t>
      </w:r>
    </w:p>
    <w:p>
      <w:pPr>
        <w:jc w:val="left"/>
      </w:pPr>
      <w:r>
        <w:rPr>
          <w:rFonts w:ascii="等线" w:hAnsi="等线"/>
          <w:b w:val="0"/>
          <w:sz w:val="21"/>
        </w:rPr>
        <w:t>2. 社会目标：</w:t>
      </w:r>
    </w:p>
    <w:p>
      <w:pPr>
        <w:ind w:left="480"/>
        <w:jc w:val="left"/>
      </w:pPr>
      <w:r>
        <w:rPr>
          <w:rFonts w:ascii="等线" w:hAnsi="等线"/>
          <w:b w:val="0"/>
          <w:sz w:val="21"/>
        </w:rPr>
        <w:t>◦ 员工权益：确保员工的基本权益得到保障，包括但不限于工资、福利、工作时间、健康与安全等。</w:t>
      </w:r>
    </w:p>
    <w:p>
      <w:pPr>
        <w:ind w:left="480"/>
        <w:jc w:val="left"/>
      </w:pPr>
      <w:r>
        <w:rPr>
          <w:rFonts w:ascii="等线" w:hAnsi="等线"/>
          <w:b w:val="0"/>
          <w:sz w:val="21"/>
        </w:rPr>
        <w:t>◦ 员工发展：到</w:t>
      </w:r>
      <w:r>
        <w:rPr>
          <w:rFonts w:ascii="等线" w:hAnsi="等线"/>
          <w:b w:val="0"/>
          <w:sz w:val="21"/>
          <w:highlight w:val="yellow"/>
        </w:rPr>
        <w:t>[具体年份]</w:t>
      </w:r>
      <w:r>
        <w:rPr>
          <w:rFonts w:ascii="等线" w:hAnsi="等线"/>
          <w:b w:val="0"/>
          <w:sz w:val="21"/>
        </w:rPr>
        <w:t>，为员工提供</w:t>
      </w:r>
      <w:r>
        <w:rPr>
          <w:rFonts w:ascii="等线" w:hAnsi="等线"/>
          <w:b w:val="0"/>
          <w:sz w:val="21"/>
          <w:highlight w:val="yellow"/>
        </w:rPr>
        <w:t>[X]</w:t>
      </w:r>
      <w:r>
        <w:rPr>
          <w:rFonts w:ascii="等线" w:hAnsi="等线"/>
          <w:b w:val="0"/>
          <w:sz w:val="21"/>
        </w:rPr>
        <w:t>小时的培训，以提高员工的技能和知识水平。</w:t>
      </w:r>
    </w:p>
    <w:p>
      <w:pPr>
        <w:ind w:left="480"/>
        <w:jc w:val="left"/>
      </w:pPr>
      <w:r>
        <w:rPr>
          <w:rFonts w:ascii="等线" w:hAnsi="等线"/>
          <w:b w:val="0"/>
          <w:sz w:val="21"/>
        </w:rPr>
        <w:t>◦ 供应链管理：到</w:t>
      </w:r>
      <w:r>
        <w:rPr>
          <w:rFonts w:ascii="等线" w:hAnsi="等线"/>
          <w:b w:val="0"/>
          <w:sz w:val="21"/>
          <w:highlight w:val="yellow"/>
        </w:rPr>
        <w:t>[具体年份]</w:t>
      </w:r>
      <w:r>
        <w:rPr>
          <w:rFonts w:ascii="等线" w:hAnsi="等线"/>
          <w:b w:val="0"/>
          <w:sz w:val="21"/>
        </w:rPr>
        <w:t>，与</w:t>
      </w:r>
      <w:r>
        <w:rPr>
          <w:rFonts w:ascii="等线" w:hAnsi="等线"/>
          <w:b w:val="0"/>
          <w:sz w:val="21"/>
          <w:highlight w:val="yellow"/>
        </w:rPr>
        <w:t>[X]</w:t>
      </w:r>
      <w:r>
        <w:rPr>
          <w:rFonts w:ascii="等线" w:hAnsi="等线"/>
          <w:b w:val="0"/>
          <w:sz w:val="21"/>
        </w:rPr>
        <w:t>%的供应商建立可持续发展合作伙伴关系，共同推动供应链的可持续发展。</w:t>
      </w:r>
    </w:p>
    <w:p>
      <w:pPr>
        <w:ind w:left="480"/>
        <w:jc w:val="left"/>
      </w:pPr>
      <w:r>
        <w:rPr>
          <w:rFonts w:ascii="等线" w:hAnsi="等线"/>
          <w:b w:val="0"/>
          <w:sz w:val="21"/>
        </w:rPr>
        <w:t>◦ 社区参与：每年至少参与</w:t>
      </w:r>
      <w:r>
        <w:rPr>
          <w:rFonts w:ascii="等线" w:hAnsi="等线"/>
          <w:b w:val="0"/>
          <w:sz w:val="21"/>
          <w:highlight w:val="yellow"/>
        </w:rPr>
        <w:t>[X]</w:t>
      </w:r>
      <w:r>
        <w:rPr>
          <w:rFonts w:ascii="等线" w:hAnsi="等线"/>
          <w:b w:val="0"/>
          <w:sz w:val="21"/>
        </w:rPr>
        <w:t>个社区项目，为当地社区的发展做出贡献。</w:t>
      </w:r>
    </w:p>
    <w:p>
      <w:pPr>
        <w:jc w:val="left"/>
      </w:pPr>
      <w:r>
        <w:rPr>
          <w:rFonts w:ascii="等线" w:hAnsi="等线"/>
          <w:b w:val="0"/>
          <w:sz w:val="21"/>
        </w:rPr>
        <w:t>3. 治理目标：</w:t>
      </w:r>
    </w:p>
    <w:p>
      <w:pPr>
        <w:ind w:left="480"/>
        <w:jc w:val="left"/>
      </w:pPr>
      <w:r>
        <w:rPr>
          <w:rFonts w:ascii="等线" w:hAnsi="等线"/>
          <w:b w:val="0"/>
          <w:sz w:val="21"/>
        </w:rPr>
        <w:t>◦ 董事会多样性：到</w:t>
      </w:r>
      <w:r>
        <w:rPr>
          <w:rFonts w:ascii="等线" w:hAnsi="等线"/>
          <w:b w:val="0"/>
          <w:sz w:val="21"/>
          <w:highlight w:val="yellow"/>
        </w:rPr>
        <w:t>[具体年份]</w:t>
      </w:r>
      <w:r>
        <w:rPr>
          <w:rFonts w:ascii="等线" w:hAnsi="等线"/>
          <w:b w:val="0"/>
          <w:sz w:val="21"/>
        </w:rPr>
        <w:t>，董事会成员中女性和少数族裔的比例达到</w:t>
      </w:r>
      <w:r>
        <w:rPr>
          <w:rFonts w:ascii="等线" w:hAnsi="等线"/>
          <w:b w:val="0"/>
          <w:sz w:val="21"/>
          <w:highlight w:val="yellow"/>
        </w:rPr>
        <w:t>[X]</w:t>
      </w:r>
      <w:r>
        <w:rPr>
          <w:rFonts w:ascii="等线" w:hAnsi="等线"/>
          <w:b w:val="0"/>
          <w:sz w:val="21"/>
        </w:rPr>
        <w:t>%。</w:t>
      </w:r>
    </w:p>
    <w:p>
      <w:pPr>
        <w:ind w:left="480"/>
        <w:jc w:val="left"/>
      </w:pPr>
      <w:r>
        <w:rPr>
          <w:rFonts w:ascii="等线" w:hAnsi="等线"/>
          <w:b w:val="0"/>
          <w:sz w:val="21"/>
        </w:rPr>
        <w:t>◦ 反腐败：建立健全的反腐败制度，确保公司的运营合法合规。</w:t>
      </w:r>
    </w:p>
    <w:p>
      <w:pPr>
        <w:ind w:left="480"/>
        <w:jc w:val="left"/>
      </w:pPr>
      <w:r>
        <w:rPr>
          <w:rFonts w:ascii="等线" w:hAnsi="等线"/>
          <w:b w:val="0"/>
          <w:sz w:val="21"/>
        </w:rPr>
        <w:t>◦ 风险管理：建立完善的风险管理体系，有效识别和应对各类风险。</w:t>
      </w:r>
    </w:p>
    <w:p>
      <w:pPr>
        <w:jc w:val="left"/>
      </w:pPr>
      <w:r>
        <w:rPr>
          <w:rFonts w:ascii="等线" w:hAnsi="等线"/>
          <w:b w:val="0"/>
          <w:sz w:val="21"/>
        </w:rPr>
        <w:t>二、指标设定</w:t>
      </w:r>
    </w:p>
    <w:p>
      <w:pPr>
        <w:jc w:val="left"/>
      </w:pPr>
      <w:r>
        <w:rPr>
          <w:rFonts w:ascii="等线" w:hAnsi="等线"/>
          <w:b w:val="0"/>
          <w:sz w:val="21"/>
        </w:rPr>
        <w:t>1. 环境指标：</w:t>
      </w:r>
    </w:p>
    <w:p>
      <w:pPr>
        <w:ind w:left="480"/>
        <w:jc w:val="left"/>
      </w:pPr>
      <w:r>
        <w:rPr>
          <w:rFonts w:ascii="等线" w:hAnsi="等线"/>
          <w:b w:val="0"/>
          <w:sz w:val="21"/>
        </w:rPr>
        <w:t>◦ 温室气体排放：报告范围 1 和范围 2 的温室气体排放量，单位为吨二氧化碳当量（tCO2e）。</w:t>
      </w:r>
    </w:p>
    <w:p>
      <w:pPr>
        <w:ind w:left="480"/>
        <w:jc w:val="left"/>
      </w:pPr>
      <w:r>
        <w:rPr>
          <w:rFonts w:ascii="等线" w:hAnsi="等线"/>
          <w:b w:val="0"/>
          <w:sz w:val="21"/>
        </w:rPr>
        <w:t>◦ 能源消耗：报告单位产品的能源消耗，单位为千瓦时（kWh）/产品。</w:t>
      </w:r>
    </w:p>
    <w:p>
      <w:pPr>
        <w:ind w:left="480"/>
        <w:jc w:val="left"/>
      </w:pPr>
      <w:r>
        <w:rPr>
          <w:rFonts w:ascii="等线" w:hAnsi="等线"/>
          <w:b w:val="0"/>
          <w:sz w:val="21"/>
        </w:rPr>
        <w:t>◦ 水资源管理：报告单位产品的新鲜水消耗量，单位为立方米（m³）/产品。</w:t>
      </w:r>
    </w:p>
    <w:p>
      <w:pPr>
        <w:ind w:left="480"/>
        <w:jc w:val="left"/>
      </w:pPr>
      <w:r>
        <w:rPr>
          <w:rFonts w:ascii="等线" w:hAnsi="等线"/>
          <w:b w:val="0"/>
          <w:sz w:val="21"/>
        </w:rPr>
        <w:t>◦ 废弃物管理：报告废弃物的产生量，单位为吨（t），并说明废弃物的回收或再利用情况。</w:t>
      </w:r>
    </w:p>
    <w:p>
      <w:pPr>
        <w:jc w:val="left"/>
      </w:pPr>
      <w:r>
        <w:rPr>
          <w:rFonts w:ascii="等线" w:hAnsi="等线"/>
          <w:b w:val="0"/>
          <w:sz w:val="21"/>
        </w:rPr>
        <w:t>2. 社会指标：</w:t>
      </w:r>
    </w:p>
    <w:p>
      <w:pPr>
        <w:ind w:left="480"/>
        <w:jc w:val="left"/>
      </w:pPr>
      <w:r>
        <w:rPr>
          <w:rFonts w:ascii="等线" w:hAnsi="等线"/>
          <w:b w:val="0"/>
          <w:sz w:val="21"/>
        </w:rPr>
        <w:t>◦ 员工权益：报告员工的平均工资、福利待遇、工作时间、健康与安全状况等。</w:t>
      </w:r>
    </w:p>
    <w:p>
      <w:pPr>
        <w:ind w:left="480"/>
        <w:jc w:val="left"/>
      </w:pPr>
      <w:r>
        <w:rPr>
          <w:rFonts w:ascii="等线" w:hAnsi="等线"/>
          <w:b w:val="0"/>
          <w:sz w:val="21"/>
        </w:rPr>
        <w:t>◦ 员工发展：报告为员工提供的培训小时数，以及员工的满意度调查结果。</w:t>
      </w:r>
    </w:p>
    <w:p>
      <w:pPr>
        <w:ind w:left="480"/>
        <w:jc w:val="left"/>
      </w:pPr>
      <w:r>
        <w:rPr>
          <w:rFonts w:ascii="等线" w:hAnsi="等线"/>
          <w:b w:val="0"/>
          <w:sz w:val="21"/>
        </w:rPr>
        <w:t>◦ 供应链管理：报告与供应商建立可持续发展合作伙伴关系的数量和比例。</w:t>
      </w:r>
    </w:p>
    <w:p>
      <w:pPr>
        <w:ind w:left="480"/>
        <w:jc w:val="left"/>
      </w:pPr>
      <w:r>
        <w:rPr>
          <w:rFonts w:ascii="等线" w:hAnsi="等线"/>
          <w:b w:val="0"/>
          <w:sz w:val="21"/>
        </w:rPr>
        <w:t>◦ 社区参与：报告参与社区项目的数量和类型，以及对当地社区的贡献。</w:t>
      </w:r>
    </w:p>
    <w:p>
      <w:pPr>
        <w:jc w:val="left"/>
      </w:pPr>
      <w:r>
        <w:rPr>
          <w:rFonts w:ascii="等线" w:hAnsi="等线"/>
          <w:b w:val="0"/>
          <w:sz w:val="21"/>
        </w:rPr>
        <w:t>3. 治理指标：</w:t>
      </w:r>
    </w:p>
    <w:p>
      <w:pPr>
        <w:ind w:left="480"/>
        <w:jc w:val="left"/>
      </w:pPr>
      <w:r>
        <w:rPr>
          <w:rFonts w:ascii="等线" w:hAnsi="等线"/>
          <w:b w:val="0"/>
          <w:sz w:val="21"/>
        </w:rPr>
        <w:t>◦ 董事会多样性：报告董事会成员中女性和少数族裔的比例。</w:t>
      </w:r>
    </w:p>
    <w:p>
      <w:pPr>
        <w:ind w:left="480"/>
        <w:jc w:val="left"/>
      </w:pPr>
      <w:r>
        <w:rPr>
          <w:rFonts w:ascii="等线" w:hAnsi="等线"/>
          <w:b w:val="0"/>
          <w:sz w:val="21"/>
        </w:rPr>
        <w:t>◦ 反腐败：报告公司的反腐败制度和措施，以及是否发生过腐败事件。</w:t>
      </w:r>
    </w:p>
    <w:p>
      <w:pPr>
        <w:ind w:left="480"/>
        <w:jc w:val="left"/>
      </w:pPr>
      <w:r>
        <w:rPr>
          <w:rFonts w:ascii="等线" w:hAnsi="等线"/>
          <w:b w:val="0"/>
          <w:sz w:val="21"/>
        </w:rPr>
        <w:t>◦ 风险管理：报告公司的风险管理体系和措施，以及是否发生过重大风险事件。</w:t>
      </w:r>
    </w:p>
    <w:p>
      <w:pPr>
        <w:jc w:val="left"/>
      </w:pPr>
      <w:r>
        <w:rPr>
          <w:rFonts w:ascii="等线" w:hAnsi="等线"/>
          <w:b w:val="0"/>
          <w:sz w:val="21"/>
        </w:rPr>
        <w:t>三、数据收集与分析</w:t>
      </w:r>
    </w:p>
    <w:p>
      <w:pPr>
        <w:jc w:val="left"/>
      </w:pPr>
      <w:r>
        <w:rPr>
          <w:rFonts w:ascii="等线" w:hAnsi="等线"/>
          <w:b w:val="0"/>
          <w:sz w:val="21"/>
        </w:rPr>
        <w:t>1. 数据收集：</w:t>
      </w:r>
    </w:p>
    <w:p>
      <w:pPr>
        <w:ind w:left="480"/>
        <w:jc w:val="left"/>
      </w:pPr>
      <w:r>
        <w:rPr>
          <w:rFonts w:ascii="等线" w:hAnsi="等线"/>
          <w:b w:val="0"/>
          <w:sz w:val="21"/>
        </w:rPr>
        <w:t>◦ 建立完善的数据收集系统，确保数据的准确性和完整性。</w:t>
      </w:r>
    </w:p>
    <w:p>
      <w:pPr>
        <w:ind w:left="480"/>
        <w:jc w:val="left"/>
      </w:pPr>
      <w:r>
        <w:rPr>
          <w:rFonts w:ascii="等线" w:hAnsi="等线"/>
          <w:b w:val="0"/>
          <w:sz w:val="21"/>
        </w:rPr>
        <w:t>◦ 收集的数据包括但不限于公司的运营数据、财务数据、环境数据、社会数据等。</w:t>
      </w:r>
    </w:p>
    <w:p>
      <w:pPr>
        <w:jc w:val="left"/>
      </w:pPr>
      <w:r>
        <w:rPr>
          <w:rFonts w:ascii="等线" w:hAnsi="等线"/>
          <w:b w:val="0"/>
          <w:sz w:val="21"/>
        </w:rPr>
        <w:t>2. 数据分析：</w:t>
      </w:r>
    </w:p>
    <w:p>
      <w:pPr>
        <w:ind w:left="480"/>
        <w:jc w:val="left"/>
      </w:pPr>
      <w:r>
        <w:rPr>
          <w:rFonts w:ascii="等线" w:hAnsi="等线"/>
          <w:b w:val="0"/>
          <w:sz w:val="21"/>
        </w:rPr>
        <w:t>◦ 对收集的数据进行分析，评估公司的可持续发展绩效。</w:t>
      </w:r>
    </w:p>
    <w:p>
      <w:pPr>
        <w:ind w:left="480"/>
        <w:jc w:val="left"/>
      </w:pPr>
      <w:r>
        <w:rPr>
          <w:rFonts w:ascii="等线" w:hAnsi="等线"/>
          <w:b w:val="0"/>
          <w:sz w:val="21"/>
        </w:rPr>
        <w:t>◦ 分析方法包括但不限于趋势分析、比较分析、指标分析等。</w:t>
      </w:r>
    </w:p>
    <w:p>
      <w:pPr>
        <w:jc w:val="left"/>
      </w:pPr>
      <w:r>
        <w:rPr>
          <w:rFonts w:ascii="等线" w:hAnsi="等线"/>
          <w:b w:val="0"/>
          <w:sz w:val="21"/>
        </w:rPr>
        <w:t>四、报告编制与披露</w:t>
      </w:r>
    </w:p>
    <w:p>
      <w:pPr>
        <w:jc w:val="left"/>
      </w:pPr>
      <w:r>
        <w:rPr>
          <w:rFonts w:ascii="等线" w:hAnsi="等线"/>
          <w:b w:val="0"/>
          <w:sz w:val="21"/>
        </w:rPr>
        <w:t>1. 报告编制：</w:t>
      </w:r>
    </w:p>
    <w:p>
      <w:pPr>
        <w:ind w:left="480"/>
        <w:jc w:val="left"/>
      </w:pPr>
      <w:r>
        <w:rPr>
          <w:rFonts w:ascii="等线" w:hAnsi="等线"/>
          <w:b w:val="0"/>
          <w:sz w:val="21"/>
        </w:rPr>
        <w:t>◦ 根据数据收集和分析的结果，编制可持续发展报告。</w:t>
      </w:r>
    </w:p>
    <w:p>
      <w:pPr>
        <w:ind w:left="480"/>
        <w:jc w:val="left"/>
      </w:pPr>
      <w:r>
        <w:rPr>
          <w:rFonts w:ascii="等线" w:hAnsi="等线"/>
          <w:b w:val="0"/>
          <w:sz w:val="21"/>
        </w:rPr>
        <w:t>◦ 报告内容包括但不限于公司的可持续发展目标、指标、绩效、措施等。</w:t>
      </w:r>
    </w:p>
    <w:p>
      <w:pPr>
        <w:jc w:val="left"/>
      </w:pPr>
      <w:r>
        <w:rPr>
          <w:rFonts w:ascii="等线" w:hAnsi="等线"/>
          <w:b w:val="0"/>
          <w:sz w:val="21"/>
        </w:rPr>
        <w:t>2. 报告披露：</w:t>
      </w:r>
    </w:p>
    <w:p>
      <w:pPr>
        <w:ind w:left="480"/>
        <w:jc w:val="left"/>
      </w:pPr>
      <w:r>
        <w:rPr>
          <w:rFonts w:ascii="等线" w:hAnsi="等线"/>
          <w:b w:val="0"/>
          <w:sz w:val="21"/>
        </w:rPr>
        <w:t>◦ 将可持续发展报告发布在公司的官方网站上，供利益相关者查阅。</w:t>
      </w:r>
    </w:p>
    <w:p>
      <w:pPr>
        <w:ind w:left="480"/>
        <w:jc w:val="left"/>
      </w:pPr>
      <w:r>
        <w:rPr>
          <w:rFonts w:ascii="等线" w:hAnsi="等线"/>
          <w:b w:val="0"/>
          <w:sz w:val="21"/>
        </w:rPr>
        <w:t>◦ 同时，将报告提交给相关的监管机构和行业组织，以满足合规要求。</w:t>
      </w:r>
    </w:p>
    <w:p>
      <w:pPr>
        <w:jc w:val="left"/>
      </w:pPr>
      <w:r>
        <w:rPr>
          <w:rFonts w:ascii="等线" w:hAnsi="等线"/>
          <w:b w:val="0"/>
          <w:sz w:val="21"/>
        </w:rPr>
        <w:t>五、目标与指标调整</w:t>
      </w:r>
    </w:p>
    <w:p>
      <w:pPr>
        <w:jc w:val="left"/>
      </w:pPr>
      <w:r>
        <w:rPr>
          <w:rFonts w:ascii="等线" w:hAnsi="等线"/>
          <w:b w:val="0"/>
          <w:sz w:val="21"/>
        </w:rPr>
        <w:t>1. 定期评估：</w:t>
      </w:r>
    </w:p>
    <w:p>
      <w:pPr>
        <w:ind w:left="480"/>
        <w:jc w:val="left"/>
      </w:pPr>
      <w:r>
        <w:rPr>
          <w:rFonts w:ascii="等线" w:hAnsi="等线"/>
          <w:b w:val="0"/>
          <w:sz w:val="21"/>
        </w:rPr>
        <w:t>◦ 定期对可持续发展目标和指标进行评估，以确保其与公司的战略和业务发展相适应。</w:t>
      </w:r>
    </w:p>
    <w:p>
      <w:pPr>
        <w:ind w:left="480"/>
        <w:jc w:val="left"/>
      </w:pPr>
      <w:r>
        <w:rPr>
          <w:rFonts w:ascii="等线" w:hAnsi="等线"/>
          <w:b w:val="0"/>
          <w:sz w:val="21"/>
        </w:rPr>
        <w:t>◦ 评估的频率为每年一次。</w:t>
      </w:r>
    </w:p>
    <w:p>
      <w:pPr>
        <w:jc w:val="left"/>
      </w:pPr>
      <w:r>
        <w:rPr>
          <w:rFonts w:ascii="等线" w:hAnsi="等线"/>
          <w:b w:val="0"/>
          <w:sz w:val="21"/>
        </w:rPr>
        <w:t>2. 调整机制：</w:t>
      </w:r>
    </w:p>
    <w:p>
      <w:pPr>
        <w:ind w:left="480"/>
        <w:jc w:val="left"/>
      </w:pPr>
      <w:r>
        <w:rPr>
          <w:rFonts w:ascii="等线" w:hAnsi="等线"/>
          <w:b w:val="0"/>
          <w:sz w:val="21"/>
        </w:rPr>
        <w:t>◦ 根据评估的结果，对可持续发展目标和指标进行调整。</w:t>
      </w:r>
    </w:p>
    <w:p>
      <w:pPr>
        <w:ind w:left="480"/>
        <w:jc w:val="left"/>
      </w:pPr>
      <w:r>
        <w:rPr>
          <w:rFonts w:ascii="等线" w:hAnsi="等线"/>
          <w:b w:val="0"/>
          <w:sz w:val="21"/>
        </w:rPr>
        <w:t>◦ 调整的原则是确保目标和指标的合理性、可操作性和可衡量性。</w:t>
      </w:r>
    </w:p>
    <w:p>
      <w:pPr>
        <w:jc w:val="left"/>
      </w:pPr>
      <w:r>
        <w:rPr>
          <w:rFonts w:ascii="等线" w:hAnsi="等线"/>
          <w:b w:val="0"/>
          <w:sz w:val="21"/>
        </w:rPr>
        <w:t>六、监督与审计</w:t>
      </w:r>
    </w:p>
    <w:p>
      <w:pPr>
        <w:jc w:val="left"/>
      </w:pPr>
      <w:r>
        <w:rPr>
          <w:rFonts w:ascii="等线" w:hAnsi="等线"/>
          <w:b w:val="0"/>
          <w:sz w:val="21"/>
        </w:rPr>
        <w:t>1. 内部监督：</w:t>
      </w:r>
    </w:p>
    <w:p>
      <w:pPr>
        <w:ind w:left="480"/>
        <w:jc w:val="left"/>
      </w:pPr>
      <w:r>
        <w:rPr>
          <w:rFonts w:ascii="等线" w:hAnsi="等线"/>
          <w:b w:val="0"/>
          <w:sz w:val="21"/>
        </w:rPr>
        <w:t>◦ 建立内部监督机制，对可持续发展目标和指标的执行情况进行监督。</w:t>
      </w:r>
    </w:p>
    <w:p>
      <w:pPr>
        <w:ind w:left="480"/>
        <w:jc w:val="left"/>
      </w:pPr>
      <w:r>
        <w:rPr>
          <w:rFonts w:ascii="等线" w:hAnsi="等线"/>
          <w:b w:val="0"/>
          <w:sz w:val="21"/>
        </w:rPr>
        <w:t>◦ 监督的方式包括但不限于定期检查、专项审计等。</w:t>
      </w:r>
    </w:p>
    <w:p>
      <w:pPr>
        <w:jc w:val="left"/>
      </w:pPr>
      <w:r>
        <w:rPr>
          <w:rFonts w:ascii="等线" w:hAnsi="等线"/>
          <w:b w:val="0"/>
          <w:sz w:val="21"/>
        </w:rPr>
        <w:t>2. 外部审计：</w:t>
      </w:r>
    </w:p>
    <w:p>
      <w:pPr>
        <w:ind w:left="480"/>
        <w:jc w:val="left"/>
      </w:pPr>
      <w:r>
        <w:rPr>
          <w:rFonts w:ascii="等线" w:hAnsi="等线"/>
          <w:b w:val="0"/>
          <w:sz w:val="21"/>
        </w:rPr>
        <w:t>◦ 邀请独立的第三方机构对可持续发展报告进行审计，以确保报告的真实性和可靠性。</w:t>
      </w:r>
    </w:p>
    <w:p>
      <w:pPr>
        <w:ind w:left="480"/>
        <w:jc w:val="left"/>
      </w:pPr>
      <w:r>
        <w:rPr>
          <w:rFonts w:ascii="等线" w:hAnsi="等线"/>
          <w:b w:val="0"/>
          <w:sz w:val="21"/>
        </w:rPr>
        <w:t>◦ 审计的频率为每两年一次。</w:t>
      </w:r>
    </w:p>
    <w:p>
      <w:pPr>
        <w:jc w:val="left"/>
      </w:pPr>
      <w:r>
        <w:rPr>
          <w:rFonts w:ascii="等线" w:hAnsi="等线"/>
          <w:b w:val="0"/>
          <w:sz w:val="21"/>
        </w:rPr>
        <w:t>七、利益相关者沟通</w:t>
      </w:r>
    </w:p>
    <w:p>
      <w:pPr>
        <w:jc w:val="left"/>
      </w:pPr>
      <w:r>
        <w:rPr>
          <w:rFonts w:ascii="等线" w:hAnsi="等线"/>
          <w:b w:val="0"/>
          <w:sz w:val="21"/>
        </w:rPr>
        <w:t>1. 沟通渠道：</w:t>
      </w:r>
    </w:p>
    <w:p>
      <w:pPr>
        <w:ind w:left="480"/>
        <w:jc w:val="left"/>
      </w:pPr>
      <w:r>
        <w:rPr>
          <w:rFonts w:ascii="等线" w:hAnsi="等线"/>
          <w:b w:val="0"/>
          <w:sz w:val="21"/>
        </w:rPr>
        <w:t>◦ 建立多种沟通渠道，与利益相关者进行沟通和交流。</w:t>
      </w:r>
    </w:p>
    <w:p>
      <w:pPr>
        <w:ind w:left="480"/>
        <w:jc w:val="left"/>
      </w:pPr>
      <w:r>
        <w:rPr>
          <w:rFonts w:ascii="等线" w:hAnsi="等线"/>
          <w:b w:val="0"/>
          <w:sz w:val="21"/>
        </w:rPr>
        <w:t>◦ 沟通渠道包括但不限于公司的官方网站、社交媒体、投资者关系活动等。</w:t>
      </w:r>
    </w:p>
    <w:p>
      <w:pPr>
        <w:jc w:val="left"/>
      </w:pPr>
      <w:r>
        <w:rPr>
          <w:rFonts w:ascii="等线" w:hAnsi="等线"/>
          <w:b w:val="0"/>
          <w:sz w:val="21"/>
        </w:rPr>
        <w:t>2. 沟通内容：</w:t>
      </w:r>
    </w:p>
    <w:p>
      <w:pPr>
        <w:ind w:left="480"/>
        <w:jc w:val="left"/>
      </w:pPr>
      <w:r>
        <w:rPr>
          <w:rFonts w:ascii="等线" w:hAnsi="等线"/>
          <w:b w:val="0"/>
          <w:sz w:val="21"/>
        </w:rPr>
        <w:t>◦ 向利益相关者披露公司的可持续发展目标、指标、绩效、措施等。</w:t>
      </w:r>
    </w:p>
    <w:p>
      <w:pPr>
        <w:ind w:left="480"/>
        <w:jc w:val="left"/>
      </w:pPr>
      <w:r>
        <w:rPr>
          <w:rFonts w:ascii="等线" w:hAnsi="等线"/>
          <w:b w:val="0"/>
          <w:sz w:val="21"/>
        </w:rPr>
        <w:t>◦ 同时，听取利益相关者的意见和建议，以改进公司的可持续发展工作。</w:t>
      </w:r>
    </w:p>
    <w:p>
      <w:r>
        <w:br w:type="page"/>
      </w:r>
    </w:p>
    <w:p>
      <w:pPr>
        <w:pStyle w:val="Heading1"/>
      </w:pPr>
      <w:r>
        <w:rPr>
          <w:rFonts w:ascii="等线" w:hAnsi="等线" w:eastAsia="等线"/>
          <w:color w:val="000000"/>
          <w:sz w:val="44"/>
        </w:rPr>
        <w:t>环境</w:t>
      </w:r>
    </w:p>
    <w:p>
      <w:pPr>
        <w:pStyle w:val="Heading2"/>
      </w:pPr>
      <w:r>
        <w:rPr>
          <w:rFonts w:ascii="等线" w:hAnsi="等线" w:eastAsia="等线"/>
          <w:color w:val="000000"/>
          <w:sz w:val="32"/>
        </w:rPr>
        <w:t>应对气候变化</w:t>
      </w:r>
    </w:p>
    <w:p>
      <w:pPr>
        <w:pStyle w:val="Heading3"/>
      </w:pPr>
      <w:r>
        <w:rPr>
          <w:rFonts w:ascii="等线" w:hAnsi="等线" w:eastAsia="等线"/>
          <w:color w:val="000000"/>
          <w:sz w:val="28"/>
        </w:rPr>
        <w:t>绿色低碳发展整体情况</w:t>
      </w:r>
    </w:p>
    <w:p>
      <w:pPr>
        <w:jc w:val="left"/>
      </w:pPr>
      <w:r>
        <w:rPr>
          <w:rFonts w:ascii="等线" w:hAnsi="等线"/>
          <w:b w:val="0"/>
          <w:sz w:val="21"/>
        </w:rPr>
        <w:t>绿色低碳发展整体情况</w:t>
      </w:r>
    </w:p>
    <w:p>
      <w:pPr>
        <w:jc w:val="left"/>
      </w:pPr>
      <w:r>
        <w:rPr>
          <w:rFonts w:ascii="等线" w:hAnsi="等线"/>
          <w:b w:val="0"/>
          <w:sz w:val="21"/>
        </w:rPr>
        <w:t>在应对气候变化和推动绿色低碳发展方面，本公司一直积极采取行动，通过多种措施实现可持续发展。以下是我们在这方面的主要举措和成果：</w:t>
      </w:r>
    </w:p>
    <w:p>
      <w:pPr>
        <w:jc w:val="left"/>
      </w:pPr>
      <w:r>
        <w:rPr>
          <w:rFonts w:ascii="等线" w:hAnsi="等线"/>
          <w:b w:val="0"/>
          <w:sz w:val="21"/>
        </w:rPr>
        <w:t>1. 改进工艺和升级生产设备- 投入资金用于生产工艺的改进，提高生产效率，减少能源消耗和废弃物排放。 - 引进先进的生产设备，提高设备的能源利用效率，降低碳排放。</w:t>
      </w:r>
    </w:p>
    <w:p>
      <w:pPr>
        <w:jc w:val="left"/>
      </w:pPr>
      <w:r>
        <w:rPr>
          <w:rFonts w:ascii="等线" w:hAnsi="等线"/>
          <w:b w:val="0"/>
          <w:sz w:val="21"/>
        </w:rPr>
        <w:t>2. 优化能源结构- 增加可再生能源的使用比例，如太阳能、风能等，减少对传统化石能源的依赖。 - 实施能源管理系统，对能源消耗进行实时监测和分析，采取节能措施。</w:t>
      </w:r>
    </w:p>
    <w:p>
      <w:pPr>
        <w:jc w:val="left"/>
      </w:pPr>
      <w:r>
        <w:rPr>
          <w:rFonts w:ascii="等线" w:hAnsi="等线"/>
          <w:b w:val="0"/>
          <w:sz w:val="21"/>
        </w:rPr>
        <w:t>3. 提高生产能效- 建立能源消耗指标体系，对各生产环节的能效进行评估和改进。 - 开展节能培训和宣传活动，提高员工的节能意识。</w:t>
      </w:r>
    </w:p>
    <w:p>
      <w:pPr>
        <w:jc w:val="left"/>
      </w:pPr>
      <w:r>
        <w:rPr>
          <w:rFonts w:ascii="等线" w:hAnsi="等线"/>
          <w:b w:val="0"/>
          <w:sz w:val="21"/>
        </w:rPr>
        <w:t>4. 研发和提供绿色产品与服务- 加大对绿色产品的研发投入，推出更环保、节能的汽车零部件产品。 - 为客户提供绿色解决方案，帮助他们减少碳排放。</w:t>
      </w:r>
    </w:p>
    <w:p>
      <w:pPr>
        <w:jc w:val="left"/>
      </w:pPr>
      <w:r>
        <w:rPr>
          <w:rFonts w:ascii="等线" w:hAnsi="等线"/>
          <w:b w:val="0"/>
          <w:sz w:val="21"/>
        </w:rPr>
        <w:t>5. 改进和强化管理- 建立完善的环境管理体系，确保各项环保措施的有效实施。 - 加强对供应商的环境管理，推动整个供应链的绿色发展。</w:t>
      </w:r>
    </w:p>
    <w:p>
      <w:pPr>
        <w:jc w:val="left"/>
      </w:pPr>
      <w:r>
        <w:rPr>
          <w:rFonts w:ascii="等线" w:hAnsi="等线"/>
          <w:b w:val="0"/>
          <w:sz w:val="21"/>
        </w:rPr>
        <w:t>通过以上措施的实施，我们取得了显著的成效：-能源消耗：单位产品的能源消耗降低了</w:t>
      </w:r>
      <w:r>
        <w:rPr>
          <w:rFonts w:ascii="等线" w:hAnsi="等线"/>
          <w:b w:val="0"/>
          <w:sz w:val="21"/>
          <w:highlight w:val="yellow"/>
        </w:rPr>
        <w:t>[X]</w:t>
      </w:r>
      <w:r>
        <w:rPr>
          <w:rFonts w:ascii="等线" w:hAnsi="等线"/>
          <w:b w:val="0"/>
          <w:sz w:val="21"/>
        </w:rPr>
        <w:t>%，相当于减少了</w:t>
      </w:r>
      <w:r>
        <w:rPr>
          <w:rFonts w:ascii="等线" w:hAnsi="等线"/>
          <w:b w:val="0"/>
          <w:sz w:val="21"/>
          <w:highlight w:val="yellow"/>
        </w:rPr>
        <w:t>[X]</w:t>
      </w:r>
      <w:r>
        <w:rPr>
          <w:rFonts w:ascii="等线" w:hAnsi="等线"/>
          <w:b w:val="0"/>
          <w:sz w:val="21"/>
        </w:rPr>
        <w:t>吨标准煤的使用。-温室气体排放：温室气体排放量减少了</w:t>
      </w:r>
      <w:r>
        <w:rPr>
          <w:rFonts w:ascii="等线" w:hAnsi="等线"/>
          <w:b w:val="0"/>
          <w:sz w:val="21"/>
          <w:highlight w:val="yellow"/>
        </w:rPr>
        <w:t>[X]</w:t>
      </w:r>
      <w:r>
        <w:rPr>
          <w:rFonts w:ascii="等线" w:hAnsi="等线"/>
          <w:b w:val="0"/>
          <w:sz w:val="21"/>
        </w:rPr>
        <w:t>吨二氧化碳当量，为应对气候变化做出了积极贡献。-绿色产品：绿色产品的销售额占总销售额的比例达到了</w:t>
      </w:r>
      <w:r>
        <w:rPr>
          <w:rFonts w:ascii="等线" w:hAnsi="等线"/>
          <w:b w:val="0"/>
          <w:sz w:val="21"/>
          <w:highlight w:val="yellow"/>
        </w:rPr>
        <w:t>[X]</w:t>
      </w:r>
      <w:r>
        <w:rPr>
          <w:rFonts w:ascii="等线" w:hAnsi="等线"/>
          <w:b w:val="0"/>
          <w:sz w:val="21"/>
        </w:rPr>
        <w:t>%，市场竞争力不断提升。</w:t>
      </w:r>
    </w:p>
    <w:p>
      <w:pPr>
        <w:jc w:val="left"/>
      </w:pPr>
      <w:r>
        <w:rPr>
          <w:rFonts w:ascii="等线" w:hAnsi="等线"/>
          <w:b w:val="0"/>
          <w:sz w:val="21"/>
        </w:rPr>
        <w:t>未来，我们将继续致力于绿色低碳发展，采取更加积极有效的措施，为美丽中国建设和全球可持续发展做出更大的贡献。具体目标包括：- 进一步降低能源消耗和温室气体排放，提高资源利用效率。- 加大对绿色技术和产品的研发投入，推动行业的绿色转型。- 加强与利益相关方的合作，共同应对气候变化挑战。</w:t>
      </w:r>
    </w:p>
    <w:p>
      <w:pPr>
        <w:pStyle w:val="Heading3"/>
      </w:pPr>
      <w:r>
        <w:rPr>
          <w:rFonts w:ascii="等线" w:hAnsi="等线" w:eastAsia="等线"/>
          <w:color w:val="000000"/>
          <w:sz w:val="28"/>
        </w:rPr>
        <w:t>治理</w:t>
      </w:r>
    </w:p>
    <w:p>
      <w:pPr>
        <w:jc w:val="left"/>
      </w:pPr>
      <w:r>
        <w:rPr>
          <w:rFonts w:ascii="等线" w:hAnsi="等线"/>
          <w:b w:val="0"/>
          <w:sz w:val="21"/>
        </w:rPr>
        <w:t>治理</w:t>
      </w:r>
    </w:p>
    <w:p>
      <w:pPr>
        <w:jc w:val="left"/>
      </w:pPr>
      <w:r>
        <w:rPr>
          <w:rFonts w:ascii="等线" w:hAnsi="等线"/>
          <w:b w:val="0"/>
          <w:sz w:val="21"/>
        </w:rPr>
        <w:t>1. 治理架构：</w:t>
      </w:r>
    </w:p>
    <w:p>
      <w:pPr>
        <w:ind w:left="480"/>
        <w:jc w:val="left"/>
      </w:pPr>
      <w:r>
        <w:rPr>
          <w:rFonts w:ascii="等线" w:hAnsi="等线"/>
          <w:b w:val="0"/>
          <w:sz w:val="21"/>
        </w:rPr>
        <w:t>◦ 公司设立了专门的气候变化治理委员会，由董事会成员、高级管理层和相关部门负责人组成，负责制定和监督公司的气候变化战略和政策。</w:t>
      </w:r>
    </w:p>
    <w:p>
      <w:pPr>
        <w:ind w:left="480"/>
        <w:jc w:val="left"/>
      </w:pPr>
      <w:r>
        <w:rPr>
          <w:rFonts w:ascii="等线" w:hAnsi="等线"/>
          <w:b w:val="0"/>
          <w:sz w:val="21"/>
        </w:rPr>
        <w:t>◦ 委员会定期召开会议，审议气候变化相关议题，并向董事会报告工作进展。</w:t>
      </w:r>
    </w:p>
    <w:p>
      <w:pPr>
        <w:jc w:val="left"/>
      </w:pPr>
      <w:r>
        <w:rPr>
          <w:rFonts w:ascii="等线" w:hAnsi="等线"/>
          <w:b w:val="0"/>
          <w:sz w:val="21"/>
        </w:rPr>
        <w:t>2. 政策与目标：</w:t>
      </w:r>
    </w:p>
    <w:p>
      <w:pPr>
        <w:ind w:left="480"/>
        <w:jc w:val="left"/>
      </w:pPr>
      <w:r>
        <w:rPr>
          <w:rFonts w:ascii="等线" w:hAnsi="等线"/>
          <w:b w:val="0"/>
          <w:sz w:val="21"/>
        </w:rPr>
        <w:t>◦ 公司制定了明确的气候变化政策，承诺在运营过程中减少温室气体排放，提高能源效率，推动可持续发展。</w:t>
      </w:r>
    </w:p>
    <w:p>
      <w:pPr>
        <w:ind w:left="480"/>
        <w:jc w:val="left"/>
      </w:pPr>
      <w:r>
        <w:rPr>
          <w:rFonts w:ascii="等线" w:hAnsi="等线"/>
          <w:b w:val="0"/>
          <w:sz w:val="21"/>
        </w:rPr>
        <w:t>◦ 公司设定了具体的温室气体减排目标，并将其纳入公司的长期战略规划。</w:t>
      </w:r>
    </w:p>
    <w:p>
      <w:pPr>
        <w:jc w:val="left"/>
      </w:pPr>
      <w:r>
        <w:rPr>
          <w:rFonts w:ascii="等线" w:hAnsi="等线"/>
          <w:b w:val="0"/>
          <w:sz w:val="21"/>
        </w:rPr>
        <w:t>3. 风险管理：</w:t>
      </w:r>
    </w:p>
    <w:p>
      <w:pPr>
        <w:ind w:left="480"/>
        <w:jc w:val="left"/>
      </w:pPr>
      <w:r>
        <w:rPr>
          <w:rFonts w:ascii="等线" w:hAnsi="等线"/>
          <w:b w:val="0"/>
          <w:sz w:val="21"/>
        </w:rPr>
        <w:t>◦ 公司建立了完善的气候变化风险管理体系，识别和评估气候变化对公司业务的潜在影响，并制定相应的应对措施。</w:t>
      </w:r>
    </w:p>
    <w:p>
      <w:pPr>
        <w:ind w:left="480"/>
        <w:jc w:val="left"/>
      </w:pPr>
      <w:r>
        <w:rPr>
          <w:rFonts w:ascii="等线" w:hAnsi="等线"/>
          <w:b w:val="0"/>
          <w:sz w:val="21"/>
        </w:rPr>
        <w:t>◦ 公司定期开展气候变化风险评估，及时调整风险管理策略。</w:t>
      </w:r>
    </w:p>
    <w:p>
      <w:pPr>
        <w:jc w:val="left"/>
      </w:pPr>
      <w:r>
        <w:rPr>
          <w:rFonts w:ascii="等线" w:hAnsi="等线"/>
          <w:b w:val="0"/>
          <w:sz w:val="21"/>
        </w:rPr>
        <w:t>4. 利益相关者沟通：</w:t>
      </w:r>
    </w:p>
    <w:p>
      <w:pPr>
        <w:ind w:left="480"/>
        <w:jc w:val="left"/>
      </w:pPr>
      <w:r>
        <w:rPr>
          <w:rFonts w:ascii="等线" w:hAnsi="等线"/>
          <w:b w:val="0"/>
          <w:sz w:val="21"/>
        </w:rPr>
        <w:t>◦ 公司积极与利益相关者沟通气候变化相关信息，包括投资者、客户、供应商、员工和社区等。</w:t>
      </w:r>
    </w:p>
    <w:p>
      <w:pPr>
        <w:ind w:left="480"/>
        <w:jc w:val="left"/>
      </w:pPr>
      <w:r>
        <w:rPr>
          <w:rFonts w:ascii="等线" w:hAnsi="等线"/>
          <w:b w:val="0"/>
          <w:sz w:val="21"/>
        </w:rPr>
        <w:t>◦ 公司通过发布年度 ESG 报告、召开投资者会议和参与行业研讨会等方式，向利益相关者展示公司在应对气候变化方面的努力和成果。</w:t>
      </w:r>
    </w:p>
    <w:p>
      <w:pPr>
        <w:jc w:val="left"/>
      </w:pPr>
      <w:r>
        <w:rPr>
          <w:rFonts w:ascii="等线" w:hAnsi="等线"/>
          <w:b w:val="0"/>
          <w:sz w:val="21"/>
        </w:rPr>
        <w:t>战略</w:t>
      </w:r>
    </w:p>
    <w:p>
      <w:pPr>
        <w:jc w:val="left"/>
      </w:pPr>
      <w:r>
        <w:rPr>
          <w:rFonts w:ascii="等线" w:hAnsi="等线"/>
          <w:b w:val="0"/>
          <w:sz w:val="21"/>
        </w:rPr>
        <w:t>1. 减排路径：</w:t>
      </w:r>
    </w:p>
    <w:p>
      <w:pPr>
        <w:ind w:left="480"/>
        <w:jc w:val="left"/>
      </w:pPr>
      <w:r>
        <w:rPr>
          <w:rFonts w:ascii="等线" w:hAnsi="等线"/>
          <w:b w:val="0"/>
          <w:sz w:val="21"/>
        </w:rPr>
        <w:t>◦ 公司制定了详细的减排路径，包括提高能源效率、增加可再生能源使用、优化生产流程和减少废弃物排放等。</w:t>
      </w:r>
    </w:p>
    <w:p>
      <w:pPr>
        <w:ind w:left="480"/>
        <w:jc w:val="left"/>
      </w:pPr>
      <w:r>
        <w:rPr>
          <w:rFonts w:ascii="等线" w:hAnsi="等线"/>
          <w:b w:val="0"/>
          <w:sz w:val="21"/>
        </w:rPr>
        <w:t>◦ 公司通过技术创新和管理改进，不断探索新的减排方法和途径。</w:t>
      </w:r>
    </w:p>
    <w:p>
      <w:pPr>
        <w:jc w:val="left"/>
      </w:pPr>
      <w:r>
        <w:rPr>
          <w:rFonts w:ascii="等线" w:hAnsi="等线"/>
          <w:b w:val="0"/>
          <w:sz w:val="21"/>
        </w:rPr>
        <w:t>2. 能源管理：</w:t>
      </w:r>
    </w:p>
    <w:p>
      <w:pPr>
        <w:ind w:left="480"/>
        <w:jc w:val="left"/>
      </w:pPr>
      <w:r>
        <w:rPr>
          <w:rFonts w:ascii="等线" w:hAnsi="等线"/>
          <w:b w:val="0"/>
          <w:sz w:val="21"/>
        </w:rPr>
        <w:t>◦ 公司建立了能源管理体系，对能源消耗进行实时监测和分析，采取措施提高能源利用效率。</w:t>
      </w:r>
    </w:p>
    <w:p>
      <w:pPr>
        <w:ind w:left="480"/>
        <w:jc w:val="left"/>
      </w:pPr>
      <w:r>
        <w:rPr>
          <w:rFonts w:ascii="等线" w:hAnsi="等线"/>
          <w:b w:val="0"/>
          <w:sz w:val="21"/>
        </w:rPr>
        <w:t>◦ 公司积极推广节能技术和设备，鼓励员工节约能源。</w:t>
      </w:r>
    </w:p>
    <w:p>
      <w:pPr>
        <w:jc w:val="left"/>
      </w:pPr>
      <w:r>
        <w:rPr>
          <w:rFonts w:ascii="等线" w:hAnsi="等线"/>
          <w:b w:val="0"/>
          <w:sz w:val="21"/>
        </w:rPr>
        <w:t>3. 绿色供应链：</w:t>
      </w:r>
    </w:p>
    <w:p>
      <w:pPr>
        <w:ind w:left="480"/>
        <w:jc w:val="left"/>
      </w:pPr>
      <w:r>
        <w:rPr>
          <w:rFonts w:ascii="等线" w:hAnsi="等线"/>
          <w:b w:val="0"/>
          <w:sz w:val="21"/>
        </w:rPr>
        <w:t>◦ 公司与供应商合作，推动供应链的绿色化转型，要求供应商遵守公司的环境标准和要求。</w:t>
      </w:r>
    </w:p>
    <w:p>
      <w:pPr>
        <w:ind w:left="480"/>
        <w:jc w:val="left"/>
      </w:pPr>
      <w:r>
        <w:rPr>
          <w:rFonts w:ascii="等线" w:hAnsi="等线"/>
          <w:b w:val="0"/>
          <w:sz w:val="21"/>
        </w:rPr>
        <w:t>◦ 公司通过采购绿色原材料和零部件，减少供应链中的温室气体排放。</w:t>
      </w:r>
    </w:p>
    <w:p>
      <w:pPr>
        <w:jc w:val="left"/>
      </w:pPr>
      <w:r>
        <w:rPr>
          <w:rFonts w:ascii="等线" w:hAnsi="等线"/>
          <w:b w:val="0"/>
          <w:sz w:val="21"/>
        </w:rPr>
        <w:t>影响、风险和机遇管理</w:t>
      </w:r>
    </w:p>
    <w:p>
      <w:pPr>
        <w:jc w:val="left"/>
      </w:pPr>
      <w:r>
        <w:rPr>
          <w:rFonts w:ascii="等线" w:hAnsi="等线"/>
          <w:b w:val="0"/>
          <w:sz w:val="21"/>
        </w:rPr>
        <w:t>1. 影响评估：</w:t>
      </w:r>
    </w:p>
    <w:p>
      <w:pPr>
        <w:ind w:left="480"/>
        <w:jc w:val="left"/>
      </w:pPr>
      <w:r>
        <w:rPr>
          <w:rFonts w:ascii="等线" w:hAnsi="等线"/>
          <w:b w:val="0"/>
          <w:sz w:val="21"/>
        </w:rPr>
        <w:t>◦ 公司开展了气候变化影响评估，分析了气候变化对公司业务的直接和间接影响，包括生产设施、供应链、市场需求和法律法规等方面。</w:t>
      </w:r>
    </w:p>
    <w:p>
      <w:pPr>
        <w:ind w:left="480"/>
        <w:jc w:val="left"/>
      </w:pPr>
      <w:r>
        <w:rPr>
          <w:rFonts w:ascii="等线" w:hAnsi="等线"/>
          <w:b w:val="0"/>
          <w:sz w:val="21"/>
        </w:rPr>
        <w:t>◦ 公司根据评估结果制定了相应的应对措施，降低气候变化对公司的负面影响。</w:t>
      </w:r>
    </w:p>
    <w:p>
      <w:pPr>
        <w:jc w:val="left"/>
      </w:pPr>
      <w:r>
        <w:rPr>
          <w:rFonts w:ascii="等线" w:hAnsi="等线"/>
          <w:b w:val="0"/>
          <w:sz w:val="21"/>
        </w:rPr>
        <w:t>2. 风险识别：</w:t>
      </w:r>
    </w:p>
    <w:p>
      <w:pPr>
        <w:ind w:left="480"/>
        <w:jc w:val="left"/>
      </w:pPr>
      <w:r>
        <w:rPr>
          <w:rFonts w:ascii="等线" w:hAnsi="等线"/>
          <w:b w:val="0"/>
          <w:sz w:val="21"/>
        </w:rPr>
        <w:t>◦ 公司识别了气候变化带来的风险，包括极端天气事件、能源价格波动、政策法规变化和市场竞争加剧等。</w:t>
      </w:r>
    </w:p>
    <w:p>
      <w:pPr>
        <w:ind w:left="480"/>
        <w:jc w:val="left"/>
      </w:pPr>
      <w:r>
        <w:rPr>
          <w:rFonts w:ascii="等线" w:hAnsi="等线"/>
          <w:b w:val="0"/>
          <w:sz w:val="21"/>
        </w:rPr>
        <w:t>◦ 公司制定了风险应对策略，提高公司的抗风险能力。</w:t>
      </w:r>
    </w:p>
    <w:p>
      <w:pPr>
        <w:jc w:val="left"/>
      </w:pPr>
      <w:r>
        <w:rPr>
          <w:rFonts w:ascii="等线" w:hAnsi="等线"/>
          <w:b w:val="0"/>
          <w:sz w:val="21"/>
        </w:rPr>
        <w:t>3. 机遇把握：</w:t>
      </w:r>
    </w:p>
    <w:p>
      <w:pPr>
        <w:ind w:left="480"/>
        <w:jc w:val="left"/>
      </w:pPr>
      <w:r>
        <w:rPr>
          <w:rFonts w:ascii="等线" w:hAnsi="等线"/>
          <w:b w:val="0"/>
          <w:sz w:val="21"/>
        </w:rPr>
        <w:t>◦ 公司把握气候变化带来的机遇，积极拓展可再生能源业务、开发低碳产品和服务，提高公司的市场竞争力。</w:t>
      </w:r>
    </w:p>
    <w:p>
      <w:pPr>
        <w:ind w:left="480"/>
        <w:jc w:val="left"/>
      </w:pPr>
      <w:r>
        <w:rPr>
          <w:rFonts w:ascii="等线" w:hAnsi="等线"/>
          <w:b w:val="0"/>
          <w:sz w:val="21"/>
        </w:rPr>
        <w:t>◦ 公司加强与政府、科研机构和其他企业的合作，共同推动应对气候变化的技术创新和产业发展。</w:t>
      </w:r>
    </w:p>
    <w:p>
      <w:pPr>
        <w:jc w:val="left"/>
      </w:pPr>
      <w:r>
        <w:rPr>
          <w:rFonts w:ascii="等线" w:hAnsi="等线"/>
          <w:b w:val="0"/>
          <w:sz w:val="21"/>
        </w:rPr>
        <w:t>指标与目标</w:t>
      </w:r>
    </w:p>
    <w:p>
      <w:pPr>
        <w:jc w:val="left"/>
      </w:pPr>
      <w:r>
        <w:rPr>
          <w:rFonts w:ascii="等线" w:hAnsi="等线"/>
          <w:b w:val="0"/>
          <w:sz w:val="21"/>
        </w:rPr>
        <w:t>1. 温室气体排放：</w:t>
      </w:r>
    </w:p>
    <w:p>
      <w:pPr>
        <w:ind w:left="480"/>
        <w:jc w:val="left"/>
      </w:pPr>
      <w:r>
        <w:rPr>
          <w:rFonts w:ascii="等线" w:hAnsi="等线"/>
          <w:b w:val="0"/>
          <w:sz w:val="21"/>
        </w:rPr>
        <w:t>◦ 公司披露了过去三年的温室气体排放量，包括直接排放和间接排放，并按照国际标准进行了核算。</w:t>
      </w:r>
    </w:p>
    <w:p>
      <w:pPr>
        <w:ind w:left="480"/>
        <w:jc w:val="left"/>
      </w:pPr>
      <w:r>
        <w:rPr>
          <w:rFonts w:ascii="等线" w:hAnsi="等线"/>
          <w:b w:val="0"/>
          <w:sz w:val="21"/>
        </w:rPr>
        <w:t>◦ 公司设定了未来五年的温室气体减排目标，计划通过提高能源效率、增加可再生能源使用和优化生产流程等措施，实现减排目标。</w:t>
      </w:r>
    </w:p>
    <w:p>
      <w:pPr>
        <w:jc w:val="left"/>
      </w:pPr>
      <w:r>
        <w:rPr>
          <w:rFonts w:ascii="等线" w:hAnsi="等线"/>
          <w:b w:val="0"/>
          <w:sz w:val="21"/>
        </w:rPr>
        <w:t>2. 能源消耗：</w:t>
      </w:r>
    </w:p>
    <w:p>
      <w:pPr>
        <w:ind w:left="480"/>
        <w:jc w:val="left"/>
      </w:pPr>
      <w:r>
        <w:rPr>
          <w:rFonts w:ascii="等线" w:hAnsi="等线"/>
          <w:b w:val="0"/>
          <w:sz w:val="21"/>
        </w:rPr>
        <w:t>◦ 公司披露了过去三年的能源消耗量，包括电力、天然气和煤炭等，并按照国际标准进行了核算。</w:t>
      </w:r>
    </w:p>
    <w:p>
      <w:pPr>
        <w:ind w:left="480"/>
        <w:jc w:val="left"/>
      </w:pPr>
      <w:r>
        <w:rPr>
          <w:rFonts w:ascii="等线" w:hAnsi="等线"/>
          <w:b w:val="0"/>
          <w:sz w:val="21"/>
        </w:rPr>
        <w:t>◦ 公司设定了未来五年的能源消耗降低目标，计划通过推广节能技术和设备、优化生产流程和加强能源管理等措施，实现能源消耗降低目标。</w:t>
      </w:r>
    </w:p>
    <w:p>
      <w:pPr>
        <w:jc w:val="left"/>
      </w:pPr>
      <w:r>
        <w:rPr>
          <w:rFonts w:ascii="等线" w:hAnsi="等线"/>
          <w:b w:val="0"/>
          <w:sz w:val="21"/>
        </w:rPr>
        <w:t>3. 可再生能源使用：</w:t>
      </w:r>
    </w:p>
    <w:p>
      <w:pPr>
        <w:ind w:left="480"/>
        <w:jc w:val="left"/>
      </w:pPr>
      <w:r>
        <w:rPr>
          <w:rFonts w:ascii="等线" w:hAnsi="等线"/>
          <w:b w:val="0"/>
          <w:sz w:val="21"/>
        </w:rPr>
        <w:t>◦ 公司披露了过去三年的可再生能源使用量，包括太阳能、风能和水能等，并按照国际标准进行了核算。</w:t>
      </w:r>
    </w:p>
    <w:p>
      <w:pPr>
        <w:ind w:left="480"/>
        <w:jc w:val="left"/>
      </w:pPr>
      <w:r>
        <w:rPr>
          <w:rFonts w:ascii="等线" w:hAnsi="等线"/>
          <w:b w:val="0"/>
          <w:sz w:val="21"/>
        </w:rPr>
        <w:t>◦ 公司设定了未来五年的可再生能源使用目标，计划通过增加可再生能源投资、建设可再生能源项目和优化能源结构等措施，提高可再生能源使用比例。</w:t>
      </w:r>
    </w:p>
    <w:p>
      <w:pPr>
        <w:jc w:val="left"/>
      </w:pPr>
      <w:r>
        <w:rPr>
          <w:rFonts w:ascii="等线" w:hAnsi="等线"/>
          <w:b w:val="0"/>
          <w:sz w:val="21"/>
        </w:rPr>
        <w:t>4. 其他指标：</w:t>
      </w:r>
    </w:p>
    <w:p>
      <w:pPr>
        <w:ind w:left="480"/>
        <w:jc w:val="left"/>
      </w:pPr>
      <w:r>
        <w:rPr>
          <w:rFonts w:ascii="等线" w:hAnsi="等线"/>
          <w:b w:val="0"/>
          <w:sz w:val="21"/>
        </w:rPr>
        <w:t>◦ 公司还披露了其他与气候变化相关的指标，如水资源消耗、废弃物排放和温室气体排放强度等。</w:t>
      </w:r>
    </w:p>
    <w:p>
      <w:pPr>
        <w:ind w:left="480"/>
        <w:jc w:val="left"/>
      </w:pPr>
      <w:r>
        <w:rPr>
          <w:rFonts w:ascii="等线" w:hAnsi="等线"/>
          <w:b w:val="0"/>
          <w:sz w:val="21"/>
        </w:rPr>
        <w:t>◦ 公司设定了相应的目标，计划通过采取措施降低水资源消耗、减少废弃物排放和提高温室气体排放强度等，实现可持续发展目标。</w:t>
      </w:r>
    </w:p>
    <w:p>
      <w:pPr>
        <w:pStyle w:val="Heading3"/>
      </w:pPr>
      <w:r>
        <w:rPr>
          <w:rFonts w:ascii="等线" w:hAnsi="等线" w:eastAsia="等线"/>
          <w:color w:val="000000"/>
          <w:sz w:val="28"/>
        </w:rPr>
        <w:t>战略</w:t>
      </w:r>
    </w:p>
    <w:p>
      <w:pPr>
        <w:jc w:val="left"/>
      </w:pPr>
      <w:r>
        <w:rPr>
          <w:rFonts w:ascii="等线" w:hAnsi="等线"/>
          <w:b w:val="0"/>
          <w:sz w:val="21"/>
        </w:rPr>
        <w:t>环境-应对气候变化-战略</w:t>
      </w:r>
    </w:p>
    <w:p>
      <w:pPr>
        <w:jc w:val="left"/>
      </w:pPr>
      <w:r>
        <w:rPr>
          <w:rFonts w:ascii="等线" w:hAnsi="等线"/>
          <w:b w:val="0"/>
          <w:sz w:val="21"/>
        </w:rPr>
        <w:t>1. 气候变化风险与机遇评估：</w:t>
      </w:r>
    </w:p>
    <w:p>
      <w:pPr>
        <w:ind w:left="480"/>
        <w:jc w:val="left"/>
      </w:pPr>
      <w:r>
        <w:rPr>
          <w:rFonts w:ascii="等线" w:hAnsi="等线"/>
          <w:b w:val="0"/>
          <w:sz w:val="21"/>
        </w:rPr>
        <w:t>◦ 我们认识到气候变化对企业的潜在影响，包括但不限于极端天气事件对供应链的干扰、能源价格波动以及法规变化等。通过全面的风险评估，我们确定了以下主要风险领域：</w:t>
      </w:r>
    </w:p>
    <w:p>
      <w:pPr>
        <w:ind w:left="480"/>
        <w:jc w:val="left"/>
      </w:pPr>
      <w:r>
        <w:rPr>
          <w:rFonts w:ascii="等线" w:hAnsi="等线"/>
          <w:b w:val="0"/>
          <w:sz w:val="21"/>
        </w:rPr>
        <w:t>◦ 供应链中断：极端天气事件可能导致原材料供应延迟或中断，影响生产计划。</w:t>
      </w:r>
    </w:p>
    <w:p>
      <w:pPr>
        <w:ind w:left="480"/>
        <w:jc w:val="left"/>
      </w:pPr>
      <w:r>
        <w:rPr>
          <w:rFonts w:ascii="等线" w:hAnsi="等线"/>
          <w:b w:val="0"/>
          <w:sz w:val="21"/>
        </w:rPr>
        <w:t>◦ 能源成本上升：能源价格的波动可能增加生产成本。</w:t>
      </w:r>
    </w:p>
    <w:p>
      <w:pPr>
        <w:ind w:left="480"/>
        <w:jc w:val="left"/>
      </w:pPr>
      <w:r>
        <w:rPr>
          <w:rFonts w:ascii="等线" w:hAnsi="等线"/>
          <w:b w:val="0"/>
          <w:sz w:val="21"/>
        </w:rPr>
        <w:t>◦ 法规变化：更严格的环境法规可能要求我们采取额外的减排措施。</w:t>
      </w:r>
    </w:p>
    <w:p>
      <w:pPr>
        <w:jc w:val="left"/>
      </w:pPr>
      <w:r>
        <w:rPr>
          <w:rFonts w:ascii="等线" w:hAnsi="等线"/>
          <w:b w:val="0"/>
          <w:sz w:val="21"/>
        </w:rPr>
        <w:t>同时，我们也看到了气候变化带来的机遇，例如： -能源效率提升：通过采用更节能的技术和工艺，降低能源消耗，提高生产效率。 -新产品和服务需求：随着对可持续交通的需求增加，我们有机会开发和提供更环保的汽车零部件。</w:t>
      </w:r>
    </w:p>
    <w:p>
      <w:pPr>
        <w:jc w:val="left"/>
      </w:pPr>
      <w:r>
        <w:rPr>
          <w:rFonts w:ascii="等线" w:hAnsi="等线"/>
          <w:b w:val="0"/>
          <w:sz w:val="21"/>
        </w:rPr>
        <w:t>1. 应对气候变化战略：</w:t>
      </w:r>
    </w:p>
    <w:p>
      <w:pPr>
        <w:ind w:left="480"/>
        <w:jc w:val="left"/>
      </w:pPr>
      <w:r>
        <w:rPr>
          <w:rFonts w:ascii="等线" w:hAnsi="等线"/>
          <w:b w:val="0"/>
          <w:sz w:val="21"/>
        </w:rPr>
        <w:t>◦ 为了应对气候变化风险并抓住机遇，我们制定了以下战略：</w:t>
      </w:r>
    </w:p>
    <w:p>
      <w:pPr>
        <w:ind w:left="480"/>
        <w:jc w:val="left"/>
      </w:pPr>
      <w:r>
        <w:rPr>
          <w:rFonts w:ascii="等线" w:hAnsi="等线"/>
          <w:b w:val="0"/>
          <w:sz w:val="21"/>
        </w:rPr>
        <w:t>◦ 能源管理：我们致力于提高能源效率，减少温室气体排放。通过实施能源管理系统，我们监测和分析能源使用情况，并采取措施降低能耗。目标是在未来</w:t>
      </w:r>
      <w:r>
        <w:rPr>
          <w:rFonts w:ascii="等线" w:hAnsi="等线"/>
          <w:b w:val="0"/>
          <w:sz w:val="21"/>
          <w:highlight w:val="yellow"/>
        </w:rPr>
        <w:t>[X]</w:t>
      </w:r>
      <w:r>
        <w:rPr>
          <w:rFonts w:ascii="等线" w:hAnsi="等线"/>
          <w:b w:val="0"/>
          <w:sz w:val="21"/>
        </w:rPr>
        <w:t>年内将能源强度降低</w:t>
      </w:r>
      <w:r>
        <w:rPr>
          <w:rFonts w:ascii="等线" w:hAnsi="等线"/>
          <w:b w:val="0"/>
          <w:sz w:val="21"/>
          <w:highlight w:val="yellow"/>
        </w:rPr>
        <w:t>[X]</w:t>
      </w:r>
      <w:r>
        <w:rPr>
          <w:rFonts w:ascii="等线" w:hAnsi="等线"/>
          <w:b w:val="0"/>
          <w:sz w:val="21"/>
        </w:rPr>
        <w:t>%。</w:t>
      </w:r>
    </w:p>
    <w:p>
      <w:pPr>
        <w:ind w:left="480"/>
        <w:jc w:val="left"/>
      </w:pPr>
      <w:r>
        <w:rPr>
          <w:rFonts w:ascii="等线" w:hAnsi="等线"/>
          <w:b w:val="0"/>
          <w:sz w:val="21"/>
        </w:rPr>
        <w:t>◦ 可再生能源采购：我们积极寻求采购可再生能源，以减少对化石燃料的依赖。目标是在未来</w:t>
      </w:r>
      <w:r>
        <w:rPr>
          <w:rFonts w:ascii="等线" w:hAnsi="等线"/>
          <w:b w:val="0"/>
          <w:sz w:val="21"/>
          <w:highlight w:val="yellow"/>
        </w:rPr>
        <w:t>[X]</w:t>
      </w:r>
      <w:r>
        <w:rPr>
          <w:rFonts w:ascii="等线" w:hAnsi="等线"/>
          <w:b w:val="0"/>
          <w:sz w:val="21"/>
        </w:rPr>
        <w:t>年内将可再生能源在总能源消耗中的比例提高到</w:t>
      </w:r>
      <w:r>
        <w:rPr>
          <w:rFonts w:ascii="等线" w:hAnsi="等线"/>
          <w:b w:val="0"/>
          <w:sz w:val="21"/>
          <w:highlight w:val="yellow"/>
        </w:rPr>
        <w:t>[X]</w:t>
      </w:r>
      <w:r>
        <w:rPr>
          <w:rFonts w:ascii="等线" w:hAnsi="等线"/>
          <w:b w:val="0"/>
          <w:sz w:val="21"/>
        </w:rPr>
        <w:t>%。</w:t>
      </w:r>
    </w:p>
    <w:p>
      <w:pPr>
        <w:ind w:left="480"/>
        <w:jc w:val="left"/>
      </w:pPr>
      <w:r>
        <w:rPr>
          <w:rFonts w:ascii="等线" w:hAnsi="等线"/>
          <w:b w:val="0"/>
          <w:sz w:val="21"/>
        </w:rPr>
        <w:t>◦ 产品创新：我们加大研发投入，开发更环保、高效的汽车零部件。例如，我们正在研发轻量化材料，以降低车辆的能耗和排放。</w:t>
      </w:r>
    </w:p>
    <w:p>
      <w:pPr>
        <w:ind w:left="480"/>
        <w:jc w:val="left"/>
      </w:pPr>
      <w:r>
        <w:rPr>
          <w:rFonts w:ascii="等线" w:hAnsi="等线"/>
          <w:b w:val="0"/>
          <w:sz w:val="21"/>
        </w:rPr>
        <w:t>◦ 供应链管理：我们与供应商合作，共同应对气候变化风险。我们鼓励供应商采取可持续的生产和采购实践，并建立了供应链可持续性评估机制。</w:t>
      </w:r>
    </w:p>
    <w:p>
      <w:pPr>
        <w:jc w:val="left"/>
      </w:pPr>
      <w:r>
        <w:rPr>
          <w:rFonts w:ascii="等线" w:hAnsi="等线"/>
          <w:b w:val="0"/>
          <w:sz w:val="21"/>
        </w:rPr>
        <w:t>2. 目标与指标：</w:t>
      </w:r>
    </w:p>
    <w:p>
      <w:pPr>
        <w:ind w:left="480"/>
        <w:jc w:val="left"/>
      </w:pPr>
      <w:r>
        <w:rPr>
          <w:rFonts w:ascii="等线" w:hAnsi="等线"/>
          <w:b w:val="0"/>
          <w:sz w:val="21"/>
        </w:rPr>
        <w:t>◦ 为了衡量我们在应对气候变化方面的进展，我们设定了以下目标和指标：</w:t>
      </w:r>
    </w:p>
    <w:p>
      <w:pPr>
        <w:ind w:left="480"/>
        <w:jc w:val="left"/>
      </w:pPr>
      <w:r>
        <w:rPr>
          <w:rFonts w:ascii="等线" w:hAnsi="等线"/>
          <w:b w:val="0"/>
          <w:sz w:val="21"/>
        </w:rPr>
        <w:t>◦ 温室气体减排目标：到</w:t>
      </w:r>
      <w:r>
        <w:rPr>
          <w:rFonts w:ascii="等线" w:hAnsi="等线"/>
          <w:b w:val="0"/>
          <w:sz w:val="21"/>
          <w:highlight w:val="yellow"/>
        </w:rPr>
        <w:t>[具体年份]</w:t>
      </w:r>
      <w:r>
        <w:rPr>
          <w:rFonts w:ascii="等线" w:hAnsi="等线"/>
          <w:b w:val="0"/>
          <w:sz w:val="21"/>
        </w:rPr>
        <w:t>，将温室气体排放量在</w:t>
      </w:r>
      <w:r>
        <w:rPr>
          <w:rFonts w:ascii="等线" w:hAnsi="等线"/>
          <w:b w:val="0"/>
          <w:sz w:val="21"/>
          <w:highlight w:val="yellow"/>
        </w:rPr>
        <w:t>[基准年份]</w:t>
      </w:r>
      <w:r>
        <w:rPr>
          <w:rFonts w:ascii="等线" w:hAnsi="等线"/>
          <w:b w:val="0"/>
          <w:sz w:val="21"/>
        </w:rPr>
        <w:t>的基础上减少</w:t>
      </w:r>
      <w:r>
        <w:rPr>
          <w:rFonts w:ascii="等线" w:hAnsi="等线"/>
          <w:b w:val="0"/>
          <w:sz w:val="21"/>
          <w:highlight w:val="yellow"/>
        </w:rPr>
        <w:t>[X]</w:t>
      </w:r>
      <w:r>
        <w:rPr>
          <w:rFonts w:ascii="等线" w:hAnsi="等线"/>
          <w:b w:val="0"/>
          <w:sz w:val="21"/>
        </w:rPr>
        <w:t>%。</w:t>
      </w:r>
    </w:p>
    <w:p>
      <w:pPr>
        <w:ind w:left="480"/>
        <w:jc w:val="left"/>
      </w:pPr>
      <w:r>
        <w:rPr>
          <w:rFonts w:ascii="等线" w:hAnsi="等线"/>
          <w:b w:val="0"/>
          <w:sz w:val="21"/>
        </w:rPr>
        <w:t>◦ 能源效率目标：到</w:t>
      </w:r>
      <w:r>
        <w:rPr>
          <w:rFonts w:ascii="等线" w:hAnsi="等线"/>
          <w:b w:val="0"/>
          <w:sz w:val="21"/>
          <w:highlight w:val="yellow"/>
        </w:rPr>
        <w:t>[具体年份]</w:t>
      </w:r>
      <w:r>
        <w:rPr>
          <w:rFonts w:ascii="等线" w:hAnsi="等线"/>
          <w:b w:val="0"/>
          <w:sz w:val="21"/>
        </w:rPr>
        <w:t>，将能源强度在</w:t>
      </w:r>
      <w:r>
        <w:rPr>
          <w:rFonts w:ascii="等线" w:hAnsi="等线"/>
          <w:b w:val="0"/>
          <w:sz w:val="21"/>
          <w:highlight w:val="yellow"/>
        </w:rPr>
        <w:t>[基准年份]</w:t>
      </w:r>
      <w:r>
        <w:rPr>
          <w:rFonts w:ascii="等线" w:hAnsi="等线"/>
          <w:b w:val="0"/>
          <w:sz w:val="21"/>
        </w:rPr>
        <w:t>的基础上降低</w:t>
      </w:r>
      <w:r>
        <w:rPr>
          <w:rFonts w:ascii="等线" w:hAnsi="等线"/>
          <w:b w:val="0"/>
          <w:sz w:val="21"/>
          <w:highlight w:val="yellow"/>
        </w:rPr>
        <w:t>[X]</w:t>
      </w:r>
      <w:r>
        <w:rPr>
          <w:rFonts w:ascii="等线" w:hAnsi="等线"/>
          <w:b w:val="0"/>
          <w:sz w:val="21"/>
        </w:rPr>
        <w:t>%。</w:t>
      </w:r>
    </w:p>
    <w:p>
      <w:pPr>
        <w:ind w:left="480"/>
        <w:jc w:val="left"/>
      </w:pPr>
      <w:r>
        <w:rPr>
          <w:rFonts w:ascii="等线" w:hAnsi="等线"/>
          <w:b w:val="0"/>
          <w:sz w:val="21"/>
        </w:rPr>
        <w:t>◦ 可再生能源目标：到</w:t>
      </w:r>
      <w:r>
        <w:rPr>
          <w:rFonts w:ascii="等线" w:hAnsi="等线"/>
          <w:b w:val="0"/>
          <w:sz w:val="21"/>
          <w:highlight w:val="yellow"/>
        </w:rPr>
        <w:t>[具体年份]</w:t>
      </w:r>
      <w:r>
        <w:rPr>
          <w:rFonts w:ascii="等线" w:hAnsi="等线"/>
          <w:b w:val="0"/>
          <w:sz w:val="21"/>
        </w:rPr>
        <w:t>，将可再生能源在总能源消耗中的比例提高到</w:t>
      </w:r>
      <w:r>
        <w:rPr>
          <w:rFonts w:ascii="等线" w:hAnsi="等线"/>
          <w:b w:val="0"/>
          <w:sz w:val="21"/>
          <w:highlight w:val="yellow"/>
        </w:rPr>
        <w:t>[X]</w:t>
      </w:r>
      <w:r>
        <w:rPr>
          <w:rFonts w:ascii="等线" w:hAnsi="等线"/>
          <w:b w:val="0"/>
          <w:sz w:val="21"/>
        </w:rPr>
        <w:t>%。</w:t>
      </w:r>
    </w:p>
    <w:p>
      <w:pPr>
        <w:jc w:val="left"/>
      </w:pPr>
      <w:r>
        <w:rPr>
          <w:rFonts w:ascii="等线" w:hAnsi="等线"/>
          <w:b w:val="0"/>
          <w:sz w:val="21"/>
        </w:rPr>
        <w:t>3. 实施计划：</w:t>
      </w:r>
    </w:p>
    <w:p>
      <w:pPr>
        <w:ind w:left="480"/>
        <w:jc w:val="left"/>
      </w:pPr>
      <w:r>
        <w:rPr>
          <w:rFonts w:ascii="等线" w:hAnsi="等线"/>
          <w:b w:val="0"/>
          <w:sz w:val="21"/>
        </w:rPr>
        <w:t>◦ 为了实现上述目标，我们制定了详细的实施计划，包括以下主要措施：</w:t>
      </w:r>
    </w:p>
    <w:p>
      <w:pPr>
        <w:ind w:left="480"/>
        <w:jc w:val="left"/>
      </w:pPr>
      <w:r>
        <w:rPr>
          <w:rFonts w:ascii="等线" w:hAnsi="等线"/>
          <w:b w:val="0"/>
          <w:sz w:val="21"/>
        </w:rPr>
        <w:t>◦ 能源管理项目：实施一系列能源效率提升项目，如设备升级、工艺优化和照明改造等。</w:t>
      </w:r>
    </w:p>
    <w:p>
      <w:pPr>
        <w:ind w:left="480"/>
        <w:jc w:val="left"/>
      </w:pPr>
      <w:r>
        <w:rPr>
          <w:rFonts w:ascii="等线" w:hAnsi="等线"/>
          <w:b w:val="0"/>
          <w:sz w:val="21"/>
        </w:rPr>
        <w:t>◦ 可再生能源投资：投资建设可再生能源设施，如太阳能电站和风力发电场。</w:t>
      </w:r>
    </w:p>
    <w:p>
      <w:pPr>
        <w:ind w:left="480"/>
        <w:jc w:val="left"/>
      </w:pPr>
      <w:r>
        <w:rPr>
          <w:rFonts w:ascii="等线" w:hAnsi="等线"/>
          <w:b w:val="0"/>
          <w:sz w:val="21"/>
        </w:rPr>
        <w:t>◦ 研发创新：加大对环保技术和产品的研发投入，推动技术进步。</w:t>
      </w:r>
    </w:p>
    <w:p>
      <w:pPr>
        <w:ind w:left="480"/>
        <w:jc w:val="left"/>
      </w:pPr>
      <w:r>
        <w:rPr>
          <w:rFonts w:ascii="等线" w:hAnsi="等线"/>
          <w:b w:val="0"/>
          <w:sz w:val="21"/>
        </w:rPr>
        <w:t>◦ 供应链合作：与供应商合作，共同制定可持续发展目标和行动计划，并建立定期沟通机制。</w:t>
      </w:r>
    </w:p>
    <w:p>
      <w:pPr>
        <w:jc w:val="left"/>
      </w:pPr>
      <w:r>
        <w:rPr>
          <w:rFonts w:ascii="等线" w:hAnsi="等线"/>
          <w:b w:val="0"/>
          <w:sz w:val="21"/>
        </w:rPr>
        <w:t>4. 监测与评估：</w:t>
      </w:r>
    </w:p>
    <w:p>
      <w:pPr>
        <w:ind w:left="480"/>
        <w:jc w:val="left"/>
      </w:pPr>
      <w:r>
        <w:rPr>
          <w:rFonts w:ascii="等线" w:hAnsi="等线"/>
          <w:b w:val="0"/>
          <w:sz w:val="21"/>
        </w:rPr>
        <w:t>◦ 我们将定期监测和评估应对气候变化战略的实施效果，确保我们朝着目标前进。监测和评估的指标包括温室气体排放量、能源使用情况、可再生能源采购量等。</w:t>
      </w:r>
    </w:p>
    <w:p>
      <w:pPr>
        <w:jc w:val="left"/>
      </w:pPr>
      <w:r>
        <w:rPr>
          <w:rFonts w:ascii="等线" w:hAnsi="等线"/>
          <w:b w:val="0"/>
          <w:sz w:val="21"/>
        </w:rPr>
        <w:t>通过以上战略和措施，我们致力于在应对气候变化方面发挥积极作用，同时为企业的可持续发展奠定坚实基础。我们将不断完善和调整我们的战略，以适应不断变化的环境和市场需求。</w:t>
      </w:r>
    </w:p>
    <w:p>
      <w:pPr>
        <w:pStyle w:val="Heading3"/>
      </w:pPr>
      <w:r>
        <w:rPr>
          <w:rFonts w:ascii="等线" w:hAnsi="等线" w:eastAsia="等线"/>
          <w:color w:val="000000"/>
          <w:sz w:val="28"/>
        </w:rPr>
        <w:t>影响风险与机遇管理流程</w:t>
      </w:r>
    </w:p>
    <w:p>
      <w:pPr>
        <w:jc w:val="left"/>
      </w:pPr>
      <w:r>
        <w:rPr>
          <w:rFonts w:ascii="等线" w:hAnsi="等线"/>
          <w:b w:val="0"/>
          <w:sz w:val="21"/>
        </w:rPr>
        <w:t>以下是一个面向国际市场的大型民营汽车零部件企业 ESG 报告中环境-应对气候变化-影响风险与机遇管理流程的内容模板：</w:t>
      </w:r>
    </w:p>
    <w:p>
      <w:pPr>
        <w:jc w:val="left"/>
      </w:pPr>
      <w:r>
        <w:rPr>
          <w:rFonts w:ascii="等线" w:hAnsi="等线"/>
          <w:b w:val="0"/>
          <w:sz w:val="21"/>
        </w:rPr>
        <w:t>一、气候变化影响风险评估</w:t>
      </w:r>
    </w:p>
    <w:p>
      <w:pPr>
        <w:jc w:val="left"/>
      </w:pPr>
      <w:r>
        <w:rPr>
          <w:rFonts w:ascii="等线" w:hAnsi="等线"/>
          <w:b w:val="0"/>
          <w:sz w:val="21"/>
        </w:rPr>
        <w:t>我们采用了国际通用的方法和指标，对气候变化可能对企业带来的影响进行了全面评估。以下是评估的主要内容和结果：</w:t>
      </w:r>
    </w:p>
    <w:p>
      <w:pPr>
        <w:jc w:val="left"/>
      </w:pPr>
      <w:r>
        <w:rPr>
          <w:rFonts w:ascii="等线" w:hAnsi="等线"/>
          <w:b w:val="0"/>
          <w:sz w:val="21"/>
        </w:rPr>
        <w:t>1. 物理风险：</w:t>
      </w:r>
    </w:p>
    <w:p>
      <w:pPr>
        <w:ind w:left="480"/>
        <w:jc w:val="left"/>
      </w:pPr>
      <w:r>
        <w:rPr>
          <w:rFonts w:ascii="等线" w:hAnsi="等线"/>
          <w:b w:val="0"/>
          <w:sz w:val="21"/>
        </w:rPr>
        <w:t>◦ 极端天气事件：分析了历史气象数据，评估了暴雨、洪水、飓风等极端天气事件对生产设施、供应链和物流的潜在影响。</w:t>
      </w:r>
    </w:p>
    <w:p>
      <w:pPr>
        <w:ind w:left="480"/>
        <w:jc w:val="left"/>
      </w:pPr>
      <w:r>
        <w:rPr>
          <w:rFonts w:ascii="等线" w:hAnsi="等线"/>
          <w:b w:val="0"/>
          <w:sz w:val="21"/>
        </w:rPr>
        <w:t>◦ 海平面上升：考虑了企业所在地的地理位置和海拔高度，评估了海平面上升对沿海工厂和设施的风险。</w:t>
      </w:r>
    </w:p>
    <w:p>
      <w:pPr>
        <w:ind w:left="480"/>
        <w:jc w:val="left"/>
      </w:pPr>
      <w:r>
        <w:rPr>
          <w:rFonts w:ascii="等线" w:hAnsi="等线"/>
          <w:b w:val="0"/>
          <w:sz w:val="21"/>
        </w:rPr>
        <w:t>◦ 温度变化：研究了气候变化对气温的影响，以及可能对产品性能、生产工艺和能源需求的影响。</w:t>
      </w:r>
    </w:p>
    <w:p>
      <w:pPr>
        <w:jc w:val="left"/>
      </w:pPr>
      <w:r>
        <w:rPr>
          <w:rFonts w:ascii="等线" w:hAnsi="等线"/>
          <w:b w:val="0"/>
          <w:sz w:val="21"/>
        </w:rPr>
        <w:t>2. 转型风险：</w:t>
      </w:r>
    </w:p>
    <w:p>
      <w:pPr>
        <w:ind w:left="480"/>
        <w:jc w:val="left"/>
      </w:pPr>
      <w:r>
        <w:rPr>
          <w:rFonts w:ascii="等线" w:hAnsi="等线"/>
          <w:b w:val="0"/>
          <w:sz w:val="21"/>
        </w:rPr>
        <w:t>◦ 政策法规变化：密切关注国内外应对气候变化的政策法规动态，评估了政策变化对企业业务的潜在影响，如碳排放限制、可再生能源要求等。</w:t>
      </w:r>
    </w:p>
    <w:p>
      <w:pPr>
        <w:ind w:left="480"/>
        <w:jc w:val="left"/>
      </w:pPr>
      <w:r>
        <w:rPr>
          <w:rFonts w:ascii="等线" w:hAnsi="等线"/>
          <w:b w:val="0"/>
          <w:sz w:val="21"/>
        </w:rPr>
        <w:t>◦ 技术变革：跟踪了新能源汽车、自动驾驶等领域的技术发展趋势，评估了技术变革对企业产品和市场的影响。</w:t>
      </w:r>
    </w:p>
    <w:p>
      <w:pPr>
        <w:ind w:left="480"/>
        <w:jc w:val="left"/>
      </w:pPr>
      <w:r>
        <w:rPr>
          <w:rFonts w:ascii="等线" w:hAnsi="等线"/>
          <w:b w:val="0"/>
          <w:sz w:val="21"/>
        </w:rPr>
        <w:t>◦ 市场需求变化：分析了消费者对环保产品的需求趋势，以及市场对低碳汽车零部件的需求变化。</w:t>
      </w:r>
    </w:p>
    <w:p>
      <w:pPr>
        <w:jc w:val="left"/>
      </w:pPr>
      <w:r>
        <w:rPr>
          <w:rFonts w:ascii="等线" w:hAnsi="等线"/>
          <w:b w:val="0"/>
          <w:sz w:val="21"/>
        </w:rPr>
        <w:t>二、机遇管理</w:t>
      </w:r>
    </w:p>
    <w:p>
      <w:pPr>
        <w:jc w:val="left"/>
      </w:pPr>
      <w:r>
        <w:rPr>
          <w:rFonts w:ascii="等线" w:hAnsi="等线"/>
          <w:b w:val="0"/>
          <w:sz w:val="21"/>
        </w:rPr>
        <w:t>除了评估风险，我们还积极寻找气候变化带来的机遇，并制定了相应的战略和措施。以下是我们识别的主要机遇：</w:t>
      </w:r>
    </w:p>
    <w:p>
      <w:pPr>
        <w:jc w:val="left"/>
      </w:pPr>
      <w:r>
        <w:rPr>
          <w:rFonts w:ascii="等线" w:hAnsi="等线"/>
          <w:b w:val="0"/>
          <w:sz w:val="21"/>
        </w:rPr>
        <w:t>1. 新能源汽车市场增长：随着全球对清洁能源汽车的需求增加，我们加大了在新能源汽车零部件领域的研发和投资，以满足市场需求。</w:t>
      </w:r>
    </w:p>
    <w:p>
      <w:pPr>
        <w:jc w:val="left"/>
      </w:pPr>
      <w:r>
        <w:rPr>
          <w:rFonts w:ascii="等线" w:hAnsi="等线"/>
          <w:b w:val="0"/>
          <w:sz w:val="21"/>
        </w:rPr>
        <w:t>2. 能源效率提升：通过改进生产工艺、采用节能设备和技术，提高能源效率，降低能源成本，同时减少温室气体排放。</w:t>
      </w:r>
    </w:p>
    <w:p>
      <w:pPr>
        <w:jc w:val="left"/>
      </w:pPr>
      <w:r>
        <w:rPr>
          <w:rFonts w:ascii="等线" w:hAnsi="等线"/>
          <w:b w:val="0"/>
          <w:sz w:val="21"/>
        </w:rPr>
        <w:t>3. 可持续供应链管理：与供应商合作，推动供应链的可持续发展，减少碳排放，提高资源利用效率。</w:t>
      </w:r>
    </w:p>
    <w:p>
      <w:pPr>
        <w:jc w:val="left"/>
      </w:pPr>
      <w:r>
        <w:rPr>
          <w:rFonts w:ascii="等线" w:hAnsi="等线"/>
          <w:b w:val="0"/>
          <w:sz w:val="21"/>
        </w:rPr>
        <w:t>4. 碳交易市场：关注国内外碳交易市场的发展，探索参与碳交易的机会，以实现碳减排的经济效益。</w:t>
      </w:r>
    </w:p>
    <w:p>
      <w:pPr>
        <w:jc w:val="left"/>
      </w:pPr>
      <w:r>
        <w:rPr>
          <w:rFonts w:ascii="等线" w:hAnsi="等线"/>
          <w:b w:val="0"/>
          <w:sz w:val="21"/>
        </w:rPr>
        <w:t>三、风险管理流程</w:t>
      </w:r>
    </w:p>
    <w:p>
      <w:pPr>
        <w:jc w:val="left"/>
      </w:pPr>
      <w:r>
        <w:rPr>
          <w:rFonts w:ascii="等线" w:hAnsi="等线"/>
          <w:b w:val="0"/>
          <w:sz w:val="21"/>
        </w:rPr>
        <w:t>为了有效管理气候变化带来的影响和风险，我们建立了以下风险管理流程：</w:t>
      </w:r>
    </w:p>
    <w:p>
      <w:pPr>
        <w:jc w:val="left"/>
      </w:pPr>
      <w:r>
        <w:rPr>
          <w:rFonts w:ascii="等线" w:hAnsi="等线"/>
          <w:b w:val="0"/>
          <w:sz w:val="21"/>
        </w:rPr>
        <w:t>1. 风险识别：定期进行风险评估，识别潜在的气候变化风险和机遇。</w:t>
      </w:r>
    </w:p>
    <w:p>
      <w:pPr>
        <w:jc w:val="left"/>
      </w:pPr>
      <w:r>
        <w:rPr>
          <w:rFonts w:ascii="等线" w:hAnsi="等线"/>
          <w:b w:val="0"/>
          <w:sz w:val="21"/>
        </w:rPr>
        <w:t>2. 风险分析：对识别出的风险进行详细分析，评估其可能性和影响程度。</w:t>
      </w:r>
    </w:p>
    <w:p>
      <w:pPr>
        <w:jc w:val="left"/>
      </w:pPr>
      <w:r>
        <w:rPr>
          <w:rFonts w:ascii="等线" w:hAnsi="等线"/>
          <w:b w:val="0"/>
          <w:sz w:val="21"/>
        </w:rPr>
        <w:t>3. 风险应对策略制定：根据风险分析结果，制定相应的风险应对策略，包括风险规避、风险减轻、风险转移和风险接受。</w:t>
      </w:r>
    </w:p>
    <w:p>
      <w:pPr>
        <w:jc w:val="left"/>
      </w:pPr>
      <w:r>
        <w:rPr>
          <w:rFonts w:ascii="等线" w:hAnsi="等线"/>
          <w:b w:val="0"/>
          <w:sz w:val="21"/>
        </w:rPr>
        <w:t>4. 风险监控和评估：建立风险监控机制，定期对风险应对策略的执行情况进行评估和调整。</w:t>
      </w:r>
    </w:p>
    <w:p>
      <w:pPr>
        <w:jc w:val="left"/>
      </w:pPr>
      <w:r>
        <w:rPr>
          <w:rFonts w:ascii="等线" w:hAnsi="等线"/>
          <w:b w:val="0"/>
          <w:sz w:val="21"/>
        </w:rPr>
        <w:t>四、指标与目标</w:t>
      </w:r>
    </w:p>
    <w:p>
      <w:pPr>
        <w:jc w:val="left"/>
      </w:pPr>
      <w:r>
        <w:rPr>
          <w:rFonts w:ascii="等线" w:hAnsi="等线"/>
          <w:b w:val="0"/>
          <w:sz w:val="21"/>
        </w:rPr>
        <w:t>为了衡量我们在应对气候变化方面的进展，我们设定了以下指标和目标：</w:t>
      </w:r>
    </w:p>
    <w:p>
      <w:pPr>
        <w:jc w:val="left"/>
      </w:pPr>
      <w:r>
        <w:rPr>
          <w:rFonts w:ascii="等线" w:hAnsi="等线"/>
          <w:b w:val="0"/>
          <w:sz w:val="21"/>
        </w:rPr>
        <w:t>1. 温室气体排放：制定了温室气体减排目标，并定期监测和报告排放量。</w:t>
      </w:r>
    </w:p>
    <w:p>
      <w:pPr>
        <w:jc w:val="left"/>
      </w:pPr>
      <w:r>
        <w:rPr>
          <w:rFonts w:ascii="等线" w:hAnsi="等线"/>
          <w:b w:val="0"/>
          <w:sz w:val="21"/>
        </w:rPr>
        <w:t>2. 能源消耗：设定了能源消耗降低目标，通过提高能源效率来减少能源消耗。</w:t>
      </w:r>
    </w:p>
    <w:p>
      <w:pPr>
        <w:jc w:val="left"/>
      </w:pPr>
      <w:r>
        <w:rPr>
          <w:rFonts w:ascii="等线" w:hAnsi="等线"/>
          <w:b w:val="0"/>
          <w:sz w:val="21"/>
        </w:rPr>
        <w:t>3. 可再生能源使用：逐步增加可再生能源在能源消耗中的比例。</w:t>
      </w:r>
    </w:p>
    <w:p>
      <w:pPr>
        <w:jc w:val="left"/>
      </w:pPr>
      <w:r>
        <w:rPr>
          <w:rFonts w:ascii="等线" w:hAnsi="等线"/>
          <w:b w:val="0"/>
          <w:sz w:val="21"/>
        </w:rPr>
        <w:t>4. 产品碳足迹：开展产品碳足迹评估，努力降低产品的碳排放。</w:t>
      </w:r>
    </w:p>
    <w:p>
      <w:pPr>
        <w:jc w:val="left"/>
      </w:pPr>
      <w:r>
        <w:rPr>
          <w:rFonts w:ascii="等线" w:hAnsi="等线"/>
          <w:b w:val="0"/>
          <w:sz w:val="21"/>
        </w:rPr>
        <w:t>五、结论</w:t>
      </w:r>
    </w:p>
    <w:p>
      <w:pPr>
        <w:jc w:val="left"/>
      </w:pPr>
      <w:r>
        <w:rPr>
          <w:rFonts w:ascii="等线" w:hAnsi="等线"/>
          <w:b w:val="0"/>
          <w:sz w:val="21"/>
        </w:rPr>
        <w:t>通过以上的影响风险与机遇管理流程，我们致力于在应对气候变化方面发挥积极作用，同时抓住机遇，实现可持续发展。我们将继续加强风险管理，不断完善应对措施，为实现全球气候变化目标做出贡献。</w:t>
      </w:r>
    </w:p>
    <w:p>
      <w:pPr>
        <w:jc w:val="left"/>
      </w:pPr>
      <w:r>
        <w:rPr>
          <w:rFonts w:ascii="等线" w:hAnsi="等线"/>
          <w:b w:val="0"/>
          <w:sz w:val="21"/>
        </w:rPr>
        <w:t>请注意，以上模板仅供参考，具体内容应根据企业的实际情况进行调整和补充。在编制 ESG 报告时，建议咨询专业的 ESG 咨询机构或参考相关的国际标准和指南，以确保报告的准确性和可信度。</w:t>
      </w:r>
    </w:p>
    <w:p>
      <w:pPr>
        <w:pStyle w:val="Heading3"/>
      </w:pPr>
      <w:r>
        <w:rPr>
          <w:rFonts w:ascii="等线" w:hAnsi="等线" w:eastAsia="等线"/>
          <w:color w:val="000000"/>
          <w:sz w:val="28"/>
        </w:rPr>
        <w:t>目标与指标</w:t>
      </w:r>
    </w:p>
    <w:p>
      <w:pPr>
        <w:jc w:val="left"/>
      </w:pPr>
      <w:r>
        <w:rPr>
          <w:rFonts w:ascii="等线" w:hAnsi="等线"/>
          <w:b w:val="0"/>
          <w:sz w:val="21"/>
        </w:rPr>
        <w:t>环境-应对气候变化-目标与指标</w:t>
      </w:r>
    </w:p>
    <w:p>
      <w:pPr>
        <w:jc w:val="left"/>
      </w:pPr>
      <w:r>
        <w:rPr>
          <w:rFonts w:ascii="等线" w:hAnsi="等线"/>
          <w:b w:val="0"/>
          <w:sz w:val="21"/>
        </w:rPr>
        <w:t>我们深知气候变化对全球环境和社会的重大影响，因此积极采取行动，制定了明确的目标和指标，以减少温室气体排放，提高能源效率，推动可持续发展。以下是我们在应对气候变化方面的目标与指标：</w:t>
      </w:r>
    </w:p>
    <w:p>
      <w:pPr>
        <w:jc w:val="left"/>
      </w:pPr>
      <w:r>
        <w:rPr>
          <w:rFonts w:ascii="等线" w:hAnsi="等线"/>
          <w:b w:val="0"/>
          <w:sz w:val="21"/>
        </w:rPr>
        <w:t>温室气体排放</w:t>
      </w:r>
    </w:p>
    <w:p>
      <w:pPr>
        <w:jc w:val="left"/>
      </w:pPr>
      <w:r>
        <w:rPr>
          <w:rFonts w:ascii="等线" w:hAnsi="等线"/>
          <w:b w:val="0"/>
          <w:sz w:val="21"/>
        </w:rPr>
        <w:t>1. 范围 1 排放量：我们致力于减少直接温室气体排放，包括燃烧化石燃料产生的排放。通过采用更高效的生产工艺和设备，以及优化能源管理，我们的目标是在</w:t>
      </w:r>
      <w:r>
        <w:rPr>
          <w:rFonts w:ascii="等线" w:hAnsi="等线"/>
          <w:b w:val="0"/>
          <w:sz w:val="21"/>
          <w:highlight w:val="yellow"/>
        </w:rPr>
        <w:t>[具体时间段]</w:t>
      </w:r>
      <w:r>
        <w:rPr>
          <w:rFonts w:ascii="等线" w:hAnsi="等线"/>
          <w:b w:val="0"/>
          <w:sz w:val="21"/>
        </w:rPr>
        <w:t>内将范围 1 排放量减少</w:t>
      </w:r>
      <w:r>
        <w:rPr>
          <w:rFonts w:ascii="等线" w:hAnsi="等线"/>
          <w:b w:val="0"/>
          <w:sz w:val="21"/>
          <w:highlight w:val="yellow"/>
        </w:rPr>
        <w:t>[X]</w:t>
      </w:r>
      <w:r>
        <w:rPr>
          <w:rFonts w:ascii="等线" w:hAnsi="等线"/>
          <w:b w:val="0"/>
          <w:sz w:val="21"/>
        </w:rPr>
        <w:t>%。</w:t>
      </w:r>
    </w:p>
    <w:p>
      <w:pPr>
        <w:jc w:val="left"/>
      </w:pPr>
      <w:r>
        <w:rPr>
          <w:rFonts w:ascii="等线" w:hAnsi="等线"/>
          <w:b w:val="0"/>
          <w:sz w:val="21"/>
        </w:rPr>
        <w:t>2. 范围 2 排放量：对于间接温室气体排放，我们将加强对电力和热力消耗的管理。通过采购可再生能源和提高能源利用效率，我们计划在</w:t>
      </w:r>
      <w:r>
        <w:rPr>
          <w:rFonts w:ascii="等线" w:hAnsi="等线"/>
          <w:b w:val="0"/>
          <w:sz w:val="21"/>
          <w:highlight w:val="yellow"/>
        </w:rPr>
        <w:t>[具体时间段]</w:t>
      </w:r>
      <w:r>
        <w:rPr>
          <w:rFonts w:ascii="等线" w:hAnsi="等线"/>
          <w:b w:val="0"/>
          <w:sz w:val="21"/>
        </w:rPr>
        <w:t>内将范围 2 排放量降低</w:t>
      </w:r>
      <w:r>
        <w:rPr>
          <w:rFonts w:ascii="等线" w:hAnsi="等线"/>
          <w:b w:val="0"/>
          <w:sz w:val="21"/>
          <w:highlight w:val="yellow"/>
        </w:rPr>
        <w:t>[X]</w:t>
      </w:r>
      <w:r>
        <w:rPr>
          <w:rFonts w:ascii="等线" w:hAnsi="等线"/>
          <w:b w:val="0"/>
          <w:sz w:val="21"/>
        </w:rPr>
        <w:t>%。</w:t>
      </w:r>
    </w:p>
    <w:p>
      <w:pPr>
        <w:jc w:val="left"/>
      </w:pPr>
      <w:r>
        <w:rPr>
          <w:rFonts w:ascii="等线" w:hAnsi="等线"/>
          <w:b w:val="0"/>
          <w:sz w:val="21"/>
        </w:rPr>
        <w:t>3. 范围 3 排放量：我们认识到范围 3 排放量的重要性，并将努力减少供应链中的温室气体排放。通过与供应商合作，推动可持续采购和运输，我们的目标是在</w:t>
      </w:r>
      <w:r>
        <w:rPr>
          <w:rFonts w:ascii="等线" w:hAnsi="等线"/>
          <w:b w:val="0"/>
          <w:sz w:val="21"/>
          <w:highlight w:val="yellow"/>
        </w:rPr>
        <w:t>[具体时间段]</w:t>
      </w:r>
      <w:r>
        <w:rPr>
          <w:rFonts w:ascii="等线" w:hAnsi="等线"/>
          <w:b w:val="0"/>
          <w:sz w:val="21"/>
        </w:rPr>
        <w:t>内将范围 3 排放量降低</w:t>
      </w:r>
      <w:r>
        <w:rPr>
          <w:rFonts w:ascii="等线" w:hAnsi="等线"/>
          <w:b w:val="0"/>
          <w:sz w:val="21"/>
          <w:highlight w:val="yellow"/>
        </w:rPr>
        <w:t>[X]</w:t>
      </w:r>
      <w:r>
        <w:rPr>
          <w:rFonts w:ascii="等线" w:hAnsi="等线"/>
          <w:b w:val="0"/>
          <w:sz w:val="21"/>
        </w:rPr>
        <w:t>%。</w:t>
      </w:r>
    </w:p>
    <w:p>
      <w:pPr>
        <w:jc w:val="left"/>
      </w:pPr>
      <w:r>
        <w:rPr>
          <w:rFonts w:ascii="等线" w:hAnsi="等线"/>
          <w:b w:val="0"/>
          <w:sz w:val="21"/>
        </w:rPr>
        <w:t>能源效率</w:t>
      </w:r>
    </w:p>
    <w:p>
      <w:pPr>
        <w:jc w:val="left"/>
      </w:pPr>
      <w:r>
        <w:rPr>
          <w:rFonts w:ascii="等线" w:hAnsi="等线"/>
          <w:b w:val="0"/>
          <w:sz w:val="21"/>
        </w:rPr>
        <w:t>1. 能源消耗：我们将持续提高能源效率，降低单位产品的能源消耗。通过实施节能措施和技术改造，我们计划在</w:t>
      </w:r>
      <w:r>
        <w:rPr>
          <w:rFonts w:ascii="等线" w:hAnsi="等线"/>
          <w:b w:val="0"/>
          <w:sz w:val="21"/>
          <w:highlight w:val="yellow"/>
        </w:rPr>
        <w:t>[具体时间段]</w:t>
      </w:r>
      <w:r>
        <w:rPr>
          <w:rFonts w:ascii="等线" w:hAnsi="等线"/>
          <w:b w:val="0"/>
          <w:sz w:val="21"/>
        </w:rPr>
        <w:t>内将能源消耗降低</w:t>
      </w:r>
      <w:r>
        <w:rPr>
          <w:rFonts w:ascii="等线" w:hAnsi="等线"/>
          <w:b w:val="0"/>
          <w:sz w:val="21"/>
          <w:highlight w:val="yellow"/>
        </w:rPr>
        <w:t>[X]</w:t>
      </w:r>
      <w:r>
        <w:rPr>
          <w:rFonts w:ascii="等线" w:hAnsi="等线"/>
          <w:b w:val="0"/>
          <w:sz w:val="21"/>
        </w:rPr>
        <w:t>%。</w:t>
      </w:r>
    </w:p>
    <w:p>
      <w:pPr>
        <w:jc w:val="left"/>
      </w:pPr>
      <w:r>
        <w:rPr>
          <w:rFonts w:ascii="等线" w:hAnsi="等线"/>
          <w:b w:val="0"/>
          <w:sz w:val="21"/>
        </w:rPr>
        <w:t>2. 可再生能源：增加可再生能源在我们能源结构中的比例是我们的长期目标。我们将积极投资于太阳能、风能等可再生能源项目，并计划在</w:t>
      </w:r>
      <w:r>
        <w:rPr>
          <w:rFonts w:ascii="等线" w:hAnsi="等线"/>
          <w:b w:val="0"/>
          <w:sz w:val="21"/>
          <w:highlight w:val="yellow"/>
        </w:rPr>
        <w:t>[具体时间段]</w:t>
      </w:r>
      <w:r>
        <w:rPr>
          <w:rFonts w:ascii="等线" w:hAnsi="等线"/>
          <w:b w:val="0"/>
          <w:sz w:val="21"/>
        </w:rPr>
        <w:t>内将可再生能源使用量提高到</w:t>
      </w:r>
      <w:r>
        <w:rPr>
          <w:rFonts w:ascii="等线" w:hAnsi="等线"/>
          <w:b w:val="0"/>
          <w:sz w:val="21"/>
          <w:highlight w:val="yellow"/>
        </w:rPr>
        <w:t>[X]</w:t>
      </w:r>
      <w:r>
        <w:rPr>
          <w:rFonts w:ascii="等线" w:hAnsi="等线"/>
          <w:b w:val="0"/>
          <w:sz w:val="21"/>
        </w:rPr>
        <w:t>%。</w:t>
      </w:r>
    </w:p>
    <w:p>
      <w:pPr>
        <w:jc w:val="left"/>
      </w:pPr>
      <w:r>
        <w:rPr>
          <w:rFonts w:ascii="等线" w:hAnsi="等线"/>
          <w:b w:val="0"/>
          <w:sz w:val="21"/>
        </w:rPr>
        <w:t>碳信用额度与碳排放权交易</w:t>
      </w:r>
    </w:p>
    <w:p>
      <w:pPr>
        <w:jc w:val="left"/>
      </w:pPr>
      <w:r>
        <w:rPr>
          <w:rFonts w:ascii="等线" w:hAnsi="等线"/>
          <w:b w:val="0"/>
          <w:sz w:val="21"/>
        </w:rPr>
        <w:t>1. 碳信用额度：我们将积极参与碳信用额度的交易，以抵消部分温室气体排放。我们将确保所使用的碳信用额度来自合法和可持续的项目，并按照相关规定进行披露。</w:t>
      </w:r>
    </w:p>
    <w:p>
      <w:pPr>
        <w:jc w:val="left"/>
      </w:pPr>
      <w:r>
        <w:rPr>
          <w:rFonts w:ascii="等线" w:hAnsi="等线"/>
          <w:b w:val="0"/>
          <w:sz w:val="21"/>
        </w:rPr>
        <w:t>2. 碳排放权交易：我们将密切关注碳排放权交易市场的发展，并根据需要参与交易。我们将遵守相关法律法规，确保按时完成清缴，并及时披露交易情况。</w:t>
      </w:r>
    </w:p>
    <w:p>
      <w:pPr>
        <w:jc w:val="left"/>
      </w:pPr>
      <w:r>
        <w:rPr>
          <w:rFonts w:ascii="等线" w:hAnsi="等线"/>
          <w:b w:val="0"/>
          <w:sz w:val="21"/>
        </w:rPr>
        <w:t>数据核算与披露</w:t>
      </w:r>
    </w:p>
    <w:p>
      <w:pPr>
        <w:jc w:val="left"/>
      </w:pPr>
      <w:r>
        <w:rPr>
          <w:rFonts w:ascii="等线" w:hAnsi="等线"/>
          <w:b w:val="0"/>
          <w:sz w:val="21"/>
        </w:rPr>
        <w:t>1. 核算标准与方法：我们将采用国际公认的温室气体核算标准和方法，如温室气体议定书（GHG Protocol），确保数据的准确性和可比性。</w:t>
      </w:r>
    </w:p>
    <w:p>
      <w:pPr>
        <w:jc w:val="left"/>
      </w:pPr>
      <w:r>
        <w:rPr>
          <w:rFonts w:ascii="等线" w:hAnsi="等线"/>
          <w:b w:val="0"/>
          <w:sz w:val="21"/>
        </w:rPr>
        <w:t>2. 数据披露：我们将定期披露温室气体排放数据，包括范围 1、范围 2 和范围 3 的排放量，以及能源消耗和可再生能源使用情况。我们还将披露核算标准、方法和假设的变化，以及对排放量的影响。</w:t>
      </w:r>
    </w:p>
    <w:p>
      <w:pPr>
        <w:jc w:val="left"/>
      </w:pPr>
      <w:r>
        <w:rPr>
          <w:rFonts w:ascii="等线" w:hAnsi="等线"/>
          <w:b w:val="0"/>
          <w:sz w:val="21"/>
        </w:rPr>
        <w:t>第三方核查与鉴证</w:t>
      </w:r>
    </w:p>
    <w:p>
      <w:pPr>
        <w:jc w:val="left"/>
      </w:pPr>
      <w:r>
        <w:rPr>
          <w:rFonts w:ascii="等线" w:hAnsi="等线"/>
          <w:b w:val="0"/>
          <w:sz w:val="21"/>
        </w:rPr>
        <w:t>为提高数据的可信度和透明度，我们鼓励有条件的披露主体聘请第三方机构对公司温室气体排放等数据进行核查或鉴证。我们将积极配合第三方机构的工作，提供必要的信息和支持。</w:t>
      </w:r>
    </w:p>
    <w:p>
      <w:pPr>
        <w:jc w:val="left"/>
      </w:pPr>
      <w:r>
        <w:rPr>
          <w:rFonts w:ascii="等线" w:hAnsi="等线"/>
          <w:b w:val="0"/>
          <w:sz w:val="21"/>
        </w:rPr>
        <w:t>我们深知应对气候变化是一个长期而艰巨的任务，但我们坚信通过持续的努力和创新，我们能够为全球可持续发展做出积极贡献。我们将不断完善我们的目标和指标，加强管理和监督，确保各项措施的有效实施。同时，我们也将积极与利益相关者合作，共同推动应对气候变化的行动。</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rPr>
                <w:sz w:val="21"/>
              </w:rPr>
              <w:t>绩效指标</w:t>
            </w:r>
          </w:p>
        </w:tc>
        <w:tc>
          <w:tcPr>
            <w:tcW w:type="dxa" w:w="1928"/>
            <w:shd w:fill="f5f2f0"/>
          </w:tcPr>
          <w:p>
            <w:r>
              <w:rPr>
                <w:sz w:val="21"/>
              </w:rPr>
              <w:t>单位</w:t>
            </w:r>
          </w:p>
        </w:tc>
        <w:tc>
          <w:tcPr>
            <w:tcW w:type="dxa" w:w="1928"/>
            <w:shd w:fill="f5f2f0"/>
          </w:tcPr>
          <w:p>
            <w:r>
              <w:rPr>
                <w:sz w:val="21"/>
              </w:rPr>
              <w:t>2021</w:t>
            </w:r>
          </w:p>
        </w:tc>
        <w:tc>
          <w:tcPr>
            <w:tcW w:type="dxa" w:w="1928"/>
            <w:shd w:fill="f5f2f0"/>
          </w:tcPr>
          <w:p>
            <w:r>
              <w:rPr>
                <w:sz w:val="21"/>
              </w:rPr>
              <w:t>2022</w:t>
            </w:r>
          </w:p>
        </w:tc>
        <w:tc>
          <w:tcPr>
            <w:tcW w:type="dxa" w:w="1928"/>
            <w:shd w:fill="f5f2f0"/>
          </w:tcPr>
          <w:p>
            <w:r>
              <w:rPr>
                <w:sz w:val="21"/>
              </w:rPr>
              <w:t>2023</w:t>
            </w:r>
          </w:p>
        </w:tc>
      </w:tr>
      <w:tr>
        <w:tc>
          <w:tcPr>
            <w:tcW w:type="dxa" w:w="1928"/>
          </w:tcPr>
          <w:p>
            <w:r>
              <w:rPr>
                <w:sz w:val="21"/>
              </w:rPr>
              <w:t>温室气体排放总量</w:t>
            </w:r>
          </w:p>
        </w:tc>
        <w:tc>
          <w:tcPr>
            <w:tcW w:type="dxa" w:w="1928"/>
          </w:tcPr>
          <w:p>
            <w:r>
              <w:rPr>
                <w:sz w:val="21"/>
              </w:rPr>
              <w:t>吨CO2当量</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温室气体排放量：范围1</w:t>
            </w:r>
          </w:p>
        </w:tc>
        <w:tc>
          <w:tcPr>
            <w:tcW w:type="dxa" w:w="1928"/>
          </w:tcPr>
          <w:p>
            <w:r>
              <w:rPr>
                <w:sz w:val="21"/>
              </w:rPr>
              <w:t>吨CO2当量</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温室气体排放量：范围2</w:t>
            </w:r>
          </w:p>
        </w:tc>
        <w:tc>
          <w:tcPr>
            <w:tcW w:type="dxa" w:w="1928"/>
          </w:tcPr>
          <w:p>
            <w:r>
              <w:rPr>
                <w:sz w:val="21"/>
              </w:rPr>
              <w:t>吨CO2当量</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温室气体排放量：范围3</w:t>
            </w:r>
          </w:p>
        </w:tc>
        <w:tc>
          <w:tcPr>
            <w:tcW w:type="dxa" w:w="1928"/>
          </w:tcPr>
          <w:p>
            <w:r>
              <w:rPr>
                <w:sz w:val="21"/>
              </w:rPr>
              <w:t>吨CO2当量</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使用的碳信用额度的数量</w:t>
            </w:r>
          </w:p>
        </w:tc>
        <w:tc>
          <w:tcPr>
            <w:tcW w:type="dxa" w:w="1928"/>
          </w:tcPr>
          <w:p>
            <w:r>
              <w:rPr>
                <w:sz w:val="21"/>
              </w:rPr>
              <w:t>吨CO2当量</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是否完成碳配额清缴</w:t>
            </w:r>
          </w:p>
        </w:tc>
        <w:tc>
          <w:tcPr>
            <w:tcW w:type="dxa" w:w="1928"/>
          </w:tcPr>
          <w:p>
            <w:r>
              <w:rPr>
                <w:sz w:val="21"/>
              </w:rPr>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温室气体范围1减排量</w:t>
            </w:r>
          </w:p>
        </w:tc>
        <w:tc>
          <w:tcPr>
            <w:tcW w:type="dxa" w:w="1928"/>
          </w:tcPr>
          <w:p>
            <w:r>
              <w:rPr>
                <w:sz w:val="21"/>
              </w:rPr>
              <w:t>吨CO2当量</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温室气体范围2减排量</w:t>
            </w:r>
          </w:p>
        </w:tc>
        <w:tc>
          <w:tcPr>
            <w:tcW w:type="dxa" w:w="1928"/>
          </w:tcPr>
          <w:p>
            <w:r>
              <w:rPr>
                <w:sz w:val="21"/>
              </w:rPr>
              <w:t>吨CO2当量</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温室气体范围3减排量</w:t>
            </w:r>
          </w:p>
        </w:tc>
        <w:tc>
          <w:tcPr>
            <w:tcW w:type="dxa" w:w="1928"/>
          </w:tcPr>
          <w:p>
            <w:r>
              <w:rPr>
                <w:sz w:val="21"/>
              </w:rPr>
              <w:t>吨CO2当量</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被分配的碳配额数量</w:t>
            </w:r>
          </w:p>
        </w:tc>
        <w:tc>
          <w:tcPr>
            <w:tcW w:type="dxa" w:w="1928"/>
          </w:tcPr>
          <w:p>
            <w:r>
              <w:rPr>
                <w:sz w:val="21"/>
              </w:rPr>
              <w:t>吨CO2当量</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碳交易中出售的碳配额数量</w:t>
            </w:r>
          </w:p>
        </w:tc>
        <w:tc>
          <w:tcPr>
            <w:tcW w:type="dxa" w:w="1928"/>
          </w:tcPr>
          <w:p>
            <w:r>
              <w:rPr>
                <w:sz w:val="21"/>
              </w:rPr>
              <w:t>吨CO2当量</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碳交易中购买的碳配额数量</w:t>
            </w:r>
          </w:p>
        </w:tc>
        <w:tc>
          <w:tcPr>
            <w:tcW w:type="dxa" w:w="1928"/>
          </w:tcPr>
          <w:p>
            <w:r>
              <w:rPr>
                <w:sz w:val="21"/>
              </w:rPr>
              <w:t>吨CO2当量</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单位营收温室气体排放总量</w:t>
            </w:r>
          </w:p>
        </w:tc>
        <w:tc>
          <w:tcPr>
            <w:tcW w:type="dxa" w:w="1928"/>
          </w:tcPr>
          <w:p>
            <w:r>
              <w:rPr>
                <w:sz w:val="21"/>
              </w:rPr>
              <w:t>吨CO2当量/万元</w:t>
            </w:r>
          </w:p>
        </w:tc>
        <w:tc>
          <w:tcPr>
            <w:tcW w:type="dxa" w:w="1928"/>
          </w:tcPr>
          <w:p>
            <w:r>
              <w:rPr>
                <w:sz w:val="21"/>
              </w:rPr>
            </w:r>
          </w:p>
        </w:tc>
        <w:tc>
          <w:tcPr>
            <w:tcW w:type="dxa" w:w="1928"/>
          </w:tcPr>
          <w:p>
            <w:r>
              <w:rPr>
                <w:sz w:val="21"/>
              </w:rPr>
            </w:r>
          </w:p>
        </w:tc>
        <w:tc>
          <w:tcPr>
            <w:tcW w:type="dxa" w:w="1928"/>
          </w:tcPr>
          <w:p>
            <w:r>
              <w:rPr>
                <w:sz w:val="21"/>
              </w:rPr>
            </w:r>
          </w:p>
        </w:tc>
      </w:tr>
    </w:tbl>
    <w:p>
      <w:pPr>
        <w:pStyle w:val="Heading3"/>
      </w:pPr>
      <w:r>
        <w:rPr>
          <w:rFonts w:ascii="等线" w:hAnsi="等线" w:eastAsia="等线"/>
          <w:color w:val="000000"/>
          <w:sz w:val="28"/>
        </w:rPr>
        <w:t>气候适应</w:t>
      </w:r>
    </w:p>
    <w:p>
      <w:pPr>
        <w:jc w:val="left"/>
      </w:pPr>
      <w:r>
        <w:rPr>
          <w:rFonts w:ascii="等线" w:hAnsi="等线"/>
          <w:b w:val="0"/>
          <w:sz w:val="21"/>
        </w:rPr>
        <w:t>以下是一个面向国际市场的大型民营汽车零部件企业 ESG 报告中环境-应对气候变化-气候适应的内容模板：</w:t>
      </w:r>
    </w:p>
    <w:p>
      <w:pPr>
        <w:jc w:val="left"/>
      </w:pPr>
      <w:r>
        <w:rPr>
          <w:rFonts w:ascii="等线" w:hAnsi="等线"/>
          <w:b w:val="0"/>
          <w:sz w:val="21"/>
        </w:rPr>
        <w:t>环境-应对气候变化-气候适应</w:t>
      </w:r>
    </w:p>
    <w:p>
      <w:pPr>
        <w:jc w:val="left"/>
      </w:pPr>
      <w:r>
        <w:rPr>
          <w:rFonts w:ascii="等线" w:hAnsi="等线"/>
          <w:b w:val="0"/>
          <w:sz w:val="21"/>
        </w:rPr>
        <w:t>一、公司关于气候变化对其战略和商业模式影响的评估情况，以及应对相关影响的方法</w:t>
      </w:r>
    </w:p>
    <w:p>
      <w:pPr>
        <w:jc w:val="left"/>
      </w:pPr>
      <w:r>
        <w:rPr>
          <w:rFonts w:ascii="等线" w:hAnsi="等线"/>
          <w:b w:val="0"/>
          <w:sz w:val="21"/>
        </w:rPr>
        <w:t>1. 评估情况：</w:t>
      </w:r>
    </w:p>
    <w:p>
      <w:pPr>
        <w:ind w:left="480"/>
        <w:jc w:val="left"/>
      </w:pPr>
      <w:r>
        <w:rPr>
          <w:rFonts w:ascii="等线" w:hAnsi="等线"/>
          <w:b w:val="0"/>
          <w:sz w:val="21"/>
        </w:rPr>
        <w:t>◦ 我们认识到气候变化对汽车零部件行业带来了多方面的影响，包括原材料供应、生产运营、市场需求和法规要求等。</w:t>
      </w:r>
    </w:p>
    <w:p>
      <w:pPr>
        <w:ind w:left="480"/>
        <w:jc w:val="left"/>
      </w:pPr>
      <w:r>
        <w:rPr>
          <w:rFonts w:ascii="等线" w:hAnsi="等线"/>
          <w:b w:val="0"/>
          <w:sz w:val="21"/>
        </w:rPr>
        <w:t>◦ 通过内部研究和外部专家咨询，我们评估了气候变化可能对公司的战略和商业模式产生的直接和间接影响。</w:t>
      </w:r>
    </w:p>
    <w:p>
      <w:pPr>
        <w:jc w:val="left"/>
      </w:pPr>
      <w:r>
        <w:rPr>
          <w:rFonts w:ascii="等线" w:hAnsi="等线"/>
          <w:b w:val="0"/>
          <w:sz w:val="21"/>
        </w:rPr>
        <w:t>2. 应对方法：</w:t>
      </w:r>
    </w:p>
    <w:p>
      <w:pPr>
        <w:ind w:left="480"/>
        <w:jc w:val="left"/>
      </w:pPr>
      <w:r>
        <w:rPr>
          <w:rFonts w:ascii="等线" w:hAnsi="等线"/>
          <w:b w:val="0"/>
          <w:sz w:val="21"/>
        </w:rPr>
        <w:t>◦ 战略调整：我们将气候变化因素纳入公司的长期战略规划中，以确保业务的可持续性和适应性。</w:t>
      </w:r>
    </w:p>
    <w:p>
      <w:pPr>
        <w:ind w:left="480"/>
        <w:jc w:val="left"/>
      </w:pPr>
      <w:r>
        <w:rPr>
          <w:rFonts w:ascii="等线" w:hAnsi="等线"/>
          <w:b w:val="0"/>
          <w:sz w:val="21"/>
        </w:rPr>
        <w:t>◦ 技术创新：持续投资研发，推动节能减排技术的应用，提高产品的能效和环境友好性。</w:t>
      </w:r>
    </w:p>
    <w:p>
      <w:pPr>
        <w:ind w:left="480"/>
        <w:jc w:val="left"/>
      </w:pPr>
      <w:r>
        <w:rPr>
          <w:rFonts w:ascii="等线" w:hAnsi="等线"/>
          <w:b w:val="0"/>
          <w:sz w:val="21"/>
        </w:rPr>
        <w:t>◦ 供应链管理：与供应商合作，加强对原材料供应的风险管理，确保供应链的稳定性。</w:t>
      </w:r>
    </w:p>
    <w:p>
      <w:pPr>
        <w:ind w:left="480"/>
        <w:jc w:val="left"/>
      </w:pPr>
      <w:r>
        <w:rPr>
          <w:rFonts w:ascii="等线" w:hAnsi="等线"/>
          <w:b w:val="0"/>
          <w:sz w:val="21"/>
        </w:rPr>
        <w:t>◦ 市场拓展：关注新兴市场和绿色能源领域的发展机会，积极调整产品结构，以满足市场对低碳零部件的需求。</w:t>
      </w:r>
    </w:p>
    <w:p>
      <w:pPr>
        <w:jc w:val="left"/>
      </w:pPr>
      <w:r>
        <w:rPr>
          <w:rFonts w:ascii="等线" w:hAnsi="等线"/>
          <w:b w:val="0"/>
          <w:sz w:val="21"/>
        </w:rPr>
        <w:t>二、公司在评估其气候适应性时考虑的重大不确定性因素</w:t>
      </w:r>
    </w:p>
    <w:p>
      <w:pPr>
        <w:jc w:val="left"/>
      </w:pPr>
      <w:r>
        <w:rPr>
          <w:rFonts w:ascii="等线" w:hAnsi="等线"/>
          <w:b w:val="0"/>
          <w:sz w:val="21"/>
        </w:rPr>
        <w:t>1. 法规政策变化：国际和国内的气候法规政策不断演变，可能对公司的运营和成本产生重大影响。</w:t>
      </w:r>
    </w:p>
    <w:p>
      <w:pPr>
        <w:jc w:val="left"/>
      </w:pPr>
      <w:r>
        <w:rPr>
          <w:rFonts w:ascii="等线" w:hAnsi="等线"/>
          <w:b w:val="0"/>
          <w:sz w:val="21"/>
        </w:rPr>
        <w:t>2. 技术进步速度：新能源汽车和相关技术的发展速度不确定，可能改变市场需求和竞争格局。</w:t>
      </w:r>
    </w:p>
    <w:p>
      <w:pPr>
        <w:jc w:val="left"/>
      </w:pPr>
      <w:r>
        <w:rPr>
          <w:rFonts w:ascii="等线" w:hAnsi="等线"/>
          <w:b w:val="0"/>
          <w:sz w:val="21"/>
        </w:rPr>
        <w:t>3. 极端天气事件：气候变化可能导致更频繁和严重的极端天气事件，对生产设施和供应链造成破坏。</w:t>
      </w:r>
    </w:p>
    <w:p>
      <w:pPr>
        <w:jc w:val="left"/>
      </w:pPr>
      <w:r>
        <w:rPr>
          <w:rFonts w:ascii="等线" w:hAnsi="等线"/>
          <w:b w:val="0"/>
          <w:sz w:val="21"/>
        </w:rPr>
        <w:t>4. 原材料价格波动：气候变化可能影响原材料的供应和价格，增加成本压力。</w:t>
      </w:r>
    </w:p>
    <w:p>
      <w:pPr>
        <w:jc w:val="left"/>
      </w:pPr>
      <w:r>
        <w:rPr>
          <w:rFonts w:ascii="等线" w:hAnsi="等线"/>
          <w:b w:val="0"/>
          <w:sz w:val="21"/>
        </w:rPr>
        <w:t>三、公司在短期、中期和长期内为适应气候变化调整其战略和商业模式的能力</w:t>
      </w:r>
    </w:p>
    <w:p>
      <w:pPr>
        <w:jc w:val="left"/>
      </w:pPr>
      <w:r>
        <w:rPr>
          <w:rFonts w:ascii="等线" w:hAnsi="等线"/>
          <w:b w:val="0"/>
          <w:sz w:val="21"/>
        </w:rPr>
        <w:t>1. 短期能力：</w:t>
      </w:r>
    </w:p>
    <w:p>
      <w:pPr>
        <w:ind w:left="480"/>
        <w:jc w:val="left"/>
      </w:pPr>
      <w:r>
        <w:rPr>
          <w:rFonts w:ascii="等线" w:hAnsi="等线"/>
          <w:b w:val="0"/>
          <w:sz w:val="21"/>
        </w:rPr>
        <w:t>◦ 我们已经制定了一系列应对措施，包括加强能源管理、提高生产效率、优化物流配送等，以降低碳排放和运营成本。</w:t>
      </w:r>
    </w:p>
    <w:p>
      <w:pPr>
        <w:ind w:left="480"/>
        <w:jc w:val="left"/>
      </w:pPr>
      <w:r>
        <w:rPr>
          <w:rFonts w:ascii="等线" w:hAnsi="等线"/>
          <w:b w:val="0"/>
          <w:sz w:val="21"/>
        </w:rPr>
        <w:t>◦ 密切关注法规政策变化，及时调整业务策略，确保合规运营。</w:t>
      </w:r>
    </w:p>
    <w:p>
      <w:pPr>
        <w:jc w:val="left"/>
      </w:pPr>
      <w:r>
        <w:rPr>
          <w:rFonts w:ascii="等线" w:hAnsi="等线"/>
          <w:b w:val="0"/>
          <w:sz w:val="21"/>
        </w:rPr>
        <w:t>2. 中期能力：</w:t>
      </w:r>
    </w:p>
    <w:p>
      <w:pPr>
        <w:ind w:left="480"/>
        <w:jc w:val="left"/>
      </w:pPr>
      <w:r>
        <w:rPr>
          <w:rFonts w:ascii="等线" w:hAnsi="等线"/>
          <w:b w:val="0"/>
          <w:sz w:val="21"/>
        </w:rPr>
        <w:t>◦ 加大在研发方面的投入，推动技术创新，开发更具竞争力的低碳产品。</w:t>
      </w:r>
    </w:p>
    <w:p>
      <w:pPr>
        <w:ind w:left="480"/>
        <w:jc w:val="left"/>
      </w:pPr>
      <w:r>
        <w:rPr>
          <w:rFonts w:ascii="等线" w:hAnsi="等线"/>
          <w:b w:val="0"/>
          <w:sz w:val="21"/>
        </w:rPr>
        <w:t>◦ 加强与供应商的合作，共同应对原材料供应和价格波动的挑战。</w:t>
      </w:r>
    </w:p>
    <w:p>
      <w:pPr>
        <w:ind w:left="480"/>
        <w:jc w:val="left"/>
      </w:pPr>
      <w:r>
        <w:rPr>
          <w:rFonts w:ascii="等线" w:hAnsi="等线"/>
          <w:b w:val="0"/>
          <w:sz w:val="21"/>
        </w:rPr>
        <w:t>◦ 拓展市场渠道，提高产品在新兴市场的份额。</w:t>
      </w:r>
    </w:p>
    <w:p>
      <w:pPr>
        <w:jc w:val="left"/>
      </w:pPr>
      <w:r>
        <w:rPr>
          <w:rFonts w:ascii="等线" w:hAnsi="等线"/>
          <w:b w:val="0"/>
          <w:sz w:val="21"/>
        </w:rPr>
        <w:t>3. 长期能力：</w:t>
      </w:r>
    </w:p>
    <w:p>
      <w:pPr>
        <w:ind w:left="480"/>
        <w:jc w:val="left"/>
      </w:pPr>
      <w:r>
        <w:rPr>
          <w:rFonts w:ascii="等线" w:hAnsi="等线"/>
          <w:b w:val="0"/>
          <w:sz w:val="21"/>
        </w:rPr>
        <w:t>◦ 持续关注气候变化趋势和行业发展动态，不断调整战略和商业模式，以适应未来的市场需求和竞争环境。</w:t>
      </w:r>
    </w:p>
    <w:p>
      <w:pPr>
        <w:ind w:left="480"/>
        <w:jc w:val="left"/>
      </w:pPr>
      <w:r>
        <w:rPr>
          <w:rFonts w:ascii="等线" w:hAnsi="等线"/>
          <w:b w:val="0"/>
          <w:sz w:val="21"/>
        </w:rPr>
        <w:t>◦ 积极参与国际合作和行业标准制定，推动汽车零部件行业的可持续发展。</w:t>
      </w:r>
    </w:p>
    <w:p>
      <w:pPr>
        <w:jc w:val="left"/>
      </w:pPr>
      <w:r>
        <w:rPr>
          <w:rFonts w:ascii="等线" w:hAnsi="等线"/>
          <w:b w:val="0"/>
          <w:sz w:val="21"/>
        </w:rPr>
        <w:t>本所鼓励有条件的披露主体采用情景分析等方式进行气候适应性评估，并披露情景分析关键假设、分析过程等。</w:t>
      </w:r>
    </w:p>
    <w:p>
      <w:pPr>
        <w:jc w:val="left"/>
      </w:pPr>
      <w:r>
        <w:rPr>
          <w:rFonts w:ascii="等线" w:hAnsi="等线"/>
          <w:b w:val="0"/>
          <w:sz w:val="21"/>
        </w:rPr>
        <w:t>我们将继续努力，加强对气候变化的应对能力，为实现可持续发展目标做出积极贡献。同时，我们也将密切关注国际市场的动态和要求，不断提升 ESG 信息披露的质量和透明度。</w:t>
      </w:r>
    </w:p>
    <w:p>
      <w:pPr>
        <w:pStyle w:val="Heading3"/>
      </w:pPr>
      <w:r>
        <w:rPr>
          <w:rFonts w:ascii="等线" w:hAnsi="等线" w:eastAsia="等线"/>
          <w:color w:val="000000"/>
          <w:sz w:val="28"/>
        </w:rPr>
        <w:t>气候转型进展</w:t>
      </w:r>
    </w:p>
    <w:p>
      <w:pPr>
        <w:jc w:val="left"/>
      </w:pPr>
      <w:r>
        <w:rPr>
          <w:rFonts w:ascii="等线" w:hAnsi="等线"/>
          <w:b w:val="0"/>
          <w:sz w:val="21"/>
        </w:rPr>
        <w:t>环境-应对气候变化-气候转型进展</w:t>
      </w:r>
    </w:p>
    <w:p>
      <w:pPr>
        <w:jc w:val="left"/>
      </w:pPr>
      <w:r>
        <w:rPr>
          <w:rFonts w:ascii="等线" w:hAnsi="等线"/>
          <w:b w:val="0"/>
          <w:sz w:val="21"/>
        </w:rPr>
        <w:t>为应对气候相关风险和机遇，我们公司积极调整当前和未来战略、商业模式和资源分配。在战略方面，我们将可持续发展纳入核心目标，致力于减少温室气体排放，提高能源效率。商业模式上，我们加大对环保产品的研发和生产投入，以满足市场对低碳产品的需求。资源分配上，我们优先向与气候转型相关的项目和业务倾斜。</w:t>
      </w:r>
    </w:p>
    <w:p>
      <w:pPr>
        <w:jc w:val="left"/>
      </w:pPr>
      <w:r>
        <w:rPr>
          <w:rFonts w:ascii="等线" w:hAnsi="等线"/>
          <w:b w:val="0"/>
          <w:sz w:val="21"/>
        </w:rPr>
        <w:t>在改进生产工艺和更新设备方面，我们已经采取了一系列措施。例如，我们引入了先进的节能设备，提高了生产过程中的能源利用效率。同时，我们也在不断优化生产工艺，减少废弃物的产生和排放。</w:t>
      </w:r>
    </w:p>
    <w:p>
      <w:pPr>
        <w:jc w:val="left"/>
      </w:pPr>
      <w:r>
        <w:rPr>
          <w:rFonts w:ascii="等线" w:hAnsi="等线"/>
          <w:b w:val="0"/>
          <w:sz w:val="21"/>
        </w:rPr>
        <w:t>我们制定了详细的转型计划，该计划基于以下基本假设：未来市场对低碳产品的需求将持续增长；政府将加强对气候变化的监管；技术进步将为我们提供更多的减排选择。</w:t>
      </w:r>
    </w:p>
    <w:p>
      <w:pPr>
        <w:jc w:val="left"/>
      </w:pPr>
      <w:r>
        <w:rPr>
          <w:rFonts w:ascii="等线" w:hAnsi="等线"/>
          <w:b w:val="0"/>
          <w:sz w:val="21"/>
        </w:rPr>
        <w:t>为实施转型计划，我们提供了充足的资源。在资金方面，我们设立了专项基金，用于支持与气候转型相关的项目。在人力资源方面，我们组建了专业的团队，负责推动转型计划的实施。</w:t>
      </w:r>
    </w:p>
    <w:p>
      <w:pPr>
        <w:jc w:val="left"/>
      </w:pPr>
      <w:r>
        <w:rPr>
          <w:rFonts w:ascii="等线" w:hAnsi="等线"/>
          <w:b w:val="0"/>
          <w:sz w:val="21"/>
        </w:rPr>
        <w:t>目前，我们的转型计划进展顺利。在能源管理方面，我们已经实现了单位产品能耗的显著降低。在产品研发方面，我们成功推出了多款低碳产品，并获得了市场的认可。在供应链管理方面，我们与供应商合作，共同推动减排目标的实现。</w:t>
      </w:r>
    </w:p>
    <w:p>
      <w:pPr>
        <w:jc w:val="left"/>
      </w:pPr>
      <w:r>
        <w:rPr>
          <w:rFonts w:ascii="等线" w:hAnsi="等线"/>
          <w:b w:val="0"/>
          <w:sz w:val="21"/>
        </w:rPr>
        <w:t>未来，我们将继续努力，加快转型计划的实施进度，为应对气候变化做出更大的贡献。</w:t>
      </w:r>
    </w:p>
    <w:p>
      <w:pPr>
        <w:pStyle w:val="Heading3"/>
      </w:pPr>
      <w:r>
        <w:rPr>
          <w:rFonts w:ascii="等线" w:hAnsi="等线" w:eastAsia="等线"/>
          <w:color w:val="000000"/>
          <w:sz w:val="28"/>
        </w:rPr>
        <w:t>减排进展</w:t>
      </w:r>
    </w:p>
    <w:p>
      <w:pPr>
        <w:jc w:val="left"/>
      </w:pPr>
      <w:r>
        <w:rPr>
          <w:rFonts w:ascii="等线" w:hAnsi="等线"/>
          <w:b w:val="0"/>
          <w:sz w:val="21"/>
        </w:rPr>
        <w:t>以下是根据你的需求生成的 ESG 报告中环境-应对气候变化-减排进展的内容模板：</w:t>
      </w:r>
    </w:p>
    <w:p>
      <w:pPr>
        <w:jc w:val="left"/>
      </w:pPr>
      <w:r>
        <w:rPr>
          <w:rFonts w:ascii="等线" w:hAnsi="等线"/>
          <w:b w:val="0"/>
          <w:sz w:val="21"/>
        </w:rPr>
        <w:t>一、减排目标</w:t>
      </w:r>
    </w:p>
    <w:p>
      <w:pPr>
        <w:jc w:val="left"/>
      </w:pPr>
      <w:r>
        <w:rPr>
          <w:rFonts w:ascii="等线" w:hAnsi="等线"/>
          <w:b w:val="0"/>
          <w:sz w:val="21"/>
        </w:rPr>
        <w:t>我们致力于减少温室气体排放，以应对气候变化。我们设定了以下减排目标：</w:t>
      </w:r>
    </w:p>
    <w:p>
      <w:pPr>
        <w:jc w:val="left"/>
      </w:pPr>
      <w:r>
        <w:rPr>
          <w:rFonts w:ascii="等线" w:hAnsi="等线"/>
          <w:b w:val="0"/>
          <w:sz w:val="21"/>
        </w:rPr>
        <w:t>1. 短期目标：在</w:t>
      </w:r>
      <w:r>
        <w:rPr>
          <w:rFonts w:ascii="等线" w:hAnsi="等线"/>
          <w:b w:val="0"/>
          <w:sz w:val="21"/>
          <w:highlight w:val="yellow"/>
        </w:rPr>
        <w:t>[具体时间范围]</w:t>
      </w:r>
      <w:r>
        <w:rPr>
          <w:rFonts w:ascii="等线" w:hAnsi="等线"/>
          <w:b w:val="0"/>
          <w:sz w:val="21"/>
        </w:rPr>
        <w:t>内，将温室气体排放量减少</w:t>
      </w:r>
      <w:r>
        <w:rPr>
          <w:rFonts w:ascii="等线" w:hAnsi="等线"/>
          <w:b w:val="0"/>
          <w:sz w:val="21"/>
          <w:highlight w:val="yellow"/>
        </w:rPr>
        <w:t>[X]</w:t>
      </w:r>
      <w:r>
        <w:rPr>
          <w:rFonts w:ascii="等线" w:hAnsi="等线"/>
          <w:b w:val="0"/>
          <w:sz w:val="21"/>
        </w:rPr>
        <w:t>%。</w:t>
      </w:r>
    </w:p>
    <w:p>
      <w:pPr>
        <w:jc w:val="left"/>
      </w:pPr>
      <w:r>
        <w:rPr>
          <w:rFonts w:ascii="等线" w:hAnsi="等线"/>
          <w:b w:val="0"/>
          <w:sz w:val="21"/>
        </w:rPr>
        <w:t>2. 中期目标：到</w:t>
      </w:r>
      <w:r>
        <w:rPr>
          <w:rFonts w:ascii="等线" w:hAnsi="等线"/>
          <w:b w:val="0"/>
          <w:sz w:val="21"/>
          <w:highlight w:val="yellow"/>
        </w:rPr>
        <w:t>[具体年份]</w:t>
      </w:r>
      <w:r>
        <w:rPr>
          <w:rFonts w:ascii="等线" w:hAnsi="等线"/>
          <w:b w:val="0"/>
          <w:sz w:val="21"/>
        </w:rPr>
        <w:t>，将温室气体排放量减少</w:t>
      </w:r>
      <w:r>
        <w:rPr>
          <w:rFonts w:ascii="等线" w:hAnsi="等线"/>
          <w:b w:val="0"/>
          <w:sz w:val="21"/>
          <w:highlight w:val="yellow"/>
        </w:rPr>
        <w:t>[X]</w:t>
      </w:r>
      <w:r>
        <w:rPr>
          <w:rFonts w:ascii="等线" w:hAnsi="等线"/>
          <w:b w:val="0"/>
          <w:sz w:val="21"/>
        </w:rPr>
        <w:t>%。</w:t>
      </w:r>
    </w:p>
    <w:p>
      <w:pPr>
        <w:jc w:val="left"/>
      </w:pPr>
      <w:r>
        <w:rPr>
          <w:rFonts w:ascii="等线" w:hAnsi="等线"/>
          <w:b w:val="0"/>
          <w:sz w:val="21"/>
        </w:rPr>
        <w:t>3. 长期目标：实现碳中和，即温室气体净排放量为零。</w:t>
      </w:r>
    </w:p>
    <w:p>
      <w:pPr>
        <w:jc w:val="left"/>
      </w:pPr>
      <w:r>
        <w:rPr>
          <w:rFonts w:ascii="等线" w:hAnsi="等线"/>
          <w:b w:val="0"/>
          <w:sz w:val="21"/>
        </w:rPr>
        <w:t>二、减排措施</w:t>
      </w:r>
    </w:p>
    <w:p>
      <w:pPr>
        <w:jc w:val="left"/>
      </w:pPr>
      <w:r>
        <w:rPr>
          <w:rFonts w:ascii="等线" w:hAnsi="等线"/>
          <w:b w:val="0"/>
          <w:sz w:val="21"/>
        </w:rPr>
        <w:t>为实现减排目标，我们采取了以下措施：</w:t>
      </w:r>
    </w:p>
    <w:p>
      <w:pPr>
        <w:jc w:val="left"/>
      </w:pPr>
      <w:r>
        <w:rPr>
          <w:rFonts w:ascii="等线" w:hAnsi="等线"/>
          <w:b w:val="0"/>
          <w:sz w:val="21"/>
        </w:rPr>
        <w:t>1. 管理措施：</w:t>
      </w:r>
    </w:p>
    <w:p>
      <w:pPr>
        <w:ind w:left="480"/>
        <w:jc w:val="left"/>
      </w:pPr>
      <w:r>
        <w:rPr>
          <w:rFonts w:ascii="等线" w:hAnsi="等线"/>
          <w:b w:val="0"/>
          <w:sz w:val="21"/>
        </w:rPr>
        <w:t>◦ 建立了温室气体管理体系，制定了减排政策和行动计划。</w:t>
      </w:r>
    </w:p>
    <w:p>
      <w:pPr>
        <w:ind w:left="480"/>
        <w:jc w:val="left"/>
      </w:pPr>
      <w:r>
        <w:rPr>
          <w:rFonts w:ascii="等线" w:hAnsi="等线"/>
          <w:b w:val="0"/>
          <w:sz w:val="21"/>
        </w:rPr>
        <w:t>◦ 定期监测和报告温室气体排放量，确保数据的准确性和透明度。</w:t>
      </w:r>
    </w:p>
    <w:p>
      <w:pPr>
        <w:ind w:left="480"/>
        <w:jc w:val="left"/>
      </w:pPr>
      <w:r>
        <w:rPr>
          <w:rFonts w:ascii="等线" w:hAnsi="等线"/>
          <w:b w:val="0"/>
          <w:sz w:val="21"/>
        </w:rPr>
        <w:t>◦ 开展员工培训，提高员工对气候变化和减排的认识。</w:t>
      </w:r>
    </w:p>
    <w:p>
      <w:pPr>
        <w:jc w:val="left"/>
      </w:pPr>
      <w:r>
        <w:rPr>
          <w:rFonts w:ascii="等线" w:hAnsi="等线"/>
          <w:b w:val="0"/>
          <w:sz w:val="21"/>
        </w:rPr>
        <w:t>2. 资金投入：</w:t>
      </w:r>
    </w:p>
    <w:p>
      <w:pPr>
        <w:ind w:left="480"/>
        <w:jc w:val="left"/>
      </w:pPr>
      <w:r>
        <w:rPr>
          <w:rFonts w:ascii="等线" w:hAnsi="等线"/>
          <w:b w:val="0"/>
          <w:sz w:val="21"/>
        </w:rPr>
        <w:t>◦ 投资于节能设备和技术的研发与应用，提高能源利用效率。</w:t>
      </w:r>
    </w:p>
    <w:p>
      <w:pPr>
        <w:ind w:left="480"/>
        <w:jc w:val="left"/>
      </w:pPr>
      <w:r>
        <w:rPr>
          <w:rFonts w:ascii="等线" w:hAnsi="等线"/>
          <w:b w:val="0"/>
          <w:sz w:val="21"/>
        </w:rPr>
        <w:t>◦ 实施能源管理项目，优化能源消耗结构。</w:t>
      </w:r>
    </w:p>
    <w:p>
      <w:pPr>
        <w:jc w:val="left"/>
      </w:pPr>
      <w:r>
        <w:rPr>
          <w:rFonts w:ascii="等线" w:hAnsi="等线"/>
          <w:b w:val="0"/>
          <w:sz w:val="21"/>
        </w:rPr>
        <w:t>3. 技术开发：</w:t>
      </w:r>
    </w:p>
    <w:p>
      <w:pPr>
        <w:ind w:left="480"/>
        <w:jc w:val="left"/>
      </w:pPr>
      <w:r>
        <w:rPr>
          <w:rFonts w:ascii="等线" w:hAnsi="等线"/>
          <w:b w:val="0"/>
          <w:sz w:val="21"/>
        </w:rPr>
        <w:t>◦ 研发和推广低碳技术，如新能源汽车零部件、轻量化材料等。</w:t>
      </w:r>
    </w:p>
    <w:p>
      <w:pPr>
        <w:ind w:left="480"/>
        <w:jc w:val="left"/>
      </w:pPr>
      <w:r>
        <w:rPr>
          <w:rFonts w:ascii="等线" w:hAnsi="等线"/>
          <w:b w:val="0"/>
          <w:sz w:val="21"/>
        </w:rPr>
        <w:t>◦ 改进生产工艺，减少能源消耗和温室气体排放。</w:t>
      </w:r>
    </w:p>
    <w:p>
      <w:pPr>
        <w:jc w:val="left"/>
      </w:pPr>
      <w:r>
        <w:rPr>
          <w:rFonts w:ascii="等线" w:hAnsi="等线"/>
          <w:b w:val="0"/>
          <w:sz w:val="21"/>
        </w:rPr>
        <w:t>三、减排成效</w:t>
      </w:r>
    </w:p>
    <w:p>
      <w:pPr>
        <w:jc w:val="left"/>
      </w:pPr>
      <w:r>
        <w:rPr>
          <w:rFonts w:ascii="等线" w:hAnsi="等线"/>
          <w:b w:val="0"/>
          <w:sz w:val="21"/>
        </w:rPr>
        <w:t>通过实施上述减排措施，我们取得了以下成效：</w:t>
      </w:r>
    </w:p>
    <w:p>
      <w:pPr>
        <w:jc w:val="left"/>
      </w:pPr>
      <w:r>
        <w:rPr>
          <w:rFonts w:ascii="等线" w:hAnsi="等线"/>
          <w:b w:val="0"/>
          <w:sz w:val="21"/>
        </w:rPr>
        <w:t>1. 温室气体排放量：</w:t>
      </w:r>
    </w:p>
    <w:p>
      <w:pPr>
        <w:ind w:left="480"/>
        <w:jc w:val="left"/>
      </w:pPr>
      <w:r>
        <w:rPr>
          <w:rFonts w:ascii="等线" w:hAnsi="等线"/>
          <w:b w:val="0"/>
          <w:sz w:val="21"/>
        </w:rPr>
        <w:t>◦ 在</w:t>
      </w:r>
      <w:r>
        <w:rPr>
          <w:rFonts w:ascii="等线" w:hAnsi="等线"/>
          <w:b w:val="0"/>
          <w:sz w:val="21"/>
          <w:highlight w:val="yellow"/>
        </w:rPr>
        <w:t>[具体时间范围]</w:t>
      </w:r>
      <w:r>
        <w:rPr>
          <w:rFonts w:ascii="等线" w:hAnsi="等线"/>
          <w:b w:val="0"/>
          <w:sz w:val="21"/>
        </w:rPr>
        <w:t>内，我们的温室气体排放量减少了</w:t>
      </w:r>
      <w:r>
        <w:rPr>
          <w:rFonts w:ascii="等线" w:hAnsi="等线"/>
          <w:b w:val="0"/>
          <w:sz w:val="21"/>
          <w:highlight w:val="yellow"/>
        </w:rPr>
        <w:t>[X]</w:t>
      </w:r>
      <w:r>
        <w:rPr>
          <w:rFonts w:ascii="等线" w:hAnsi="等线"/>
          <w:b w:val="0"/>
          <w:sz w:val="21"/>
        </w:rPr>
        <w:t>吨二氧化碳当量。</w:t>
      </w:r>
    </w:p>
    <w:p>
      <w:pPr>
        <w:ind w:left="480"/>
        <w:jc w:val="left"/>
      </w:pPr>
      <w:r>
        <w:rPr>
          <w:rFonts w:ascii="等线" w:hAnsi="等线"/>
          <w:b w:val="0"/>
          <w:sz w:val="21"/>
        </w:rPr>
        <w:t>◦ 按照不同温室气体排放范围分类，直接减少的温室气体排放量如下：</w:t>
      </w:r>
    </w:p>
    <w:p>
      <w:pPr>
        <w:ind w:left="480"/>
        <w:jc w:val="left"/>
      </w:pPr>
      <w:r>
        <w:rPr>
          <w:rFonts w:ascii="等线" w:hAnsi="等线"/>
          <w:b w:val="0"/>
          <w:sz w:val="21"/>
        </w:rPr>
        <w:t>◦ 范围 1：</w:t>
      </w:r>
      <w:r>
        <w:rPr>
          <w:rFonts w:ascii="等线" w:hAnsi="等线"/>
          <w:b w:val="0"/>
          <w:sz w:val="21"/>
          <w:highlight w:val="yellow"/>
        </w:rPr>
        <w:t>[X]</w:t>
      </w:r>
      <w:r>
        <w:rPr>
          <w:rFonts w:ascii="等线" w:hAnsi="等线"/>
          <w:b w:val="0"/>
          <w:sz w:val="21"/>
        </w:rPr>
        <w:t>吨二氧化碳当量。</w:t>
      </w:r>
    </w:p>
    <w:p>
      <w:pPr>
        <w:ind w:left="480"/>
        <w:jc w:val="left"/>
      </w:pPr>
      <w:r>
        <w:rPr>
          <w:rFonts w:ascii="等线" w:hAnsi="等线"/>
          <w:b w:val="0"/>
          <w:sz w:val="21"/>
        </w:rPr>
        <w:t>◦ 范围 2：</w:t>
      </w:r>
      <w:r>
        <w:rPr>
          <w:rFonts w:ascii="等线" w:hAnsi="等线"/>
          <w:b w:val="0"/>
          <w:sz w:val="21"/>
          <w:highlight w:val="yellow"/>
        </w:rPr>
        <w:t>[X]</w:t>
      </w:r>
      <w:r>
        <w:rPr>
          <w:rFonts w:ascii="等线" w:hAnsi="等线"/>
          <w:b w:val="0"/>
          <w:sz w:val="21"/>
        </w:rPr>
        <w:t>吨二氧化碳当量。</w:t>
      </w:r>
    </w:p>
    <w:p>
      <w:pPr>
        <w:ind w:left="480"/>
        <w:jc w:val="left"/>
      </w:pPr>
      <w:r>
        <w:rPr>
          <w:rFonts w:ascii="等线" w:hAnsi="等线"/>
          <w:b w:val="0"/>
          <w:sz w:val="21"/>
        </w:rPr>
        <w:t>◦ 范围 3：</w:t>
      </w:r>
      <w:r>
        <w:rPr>
          <w:rFonts w:ascii="等线" w:hAnsi="等线"/>
          <w:b w:val="0"/>
          <w:sz w:val="21"/>
          <w:highlight w:val="yellow"/>
        </w:rPr>
        <w:t>[X]</w:t>
      </w:r>
      <w:r>
        <w:rPr>
          <w:rFonts w:ascii="等线" w:hAnsi="等线"/>
          <w:b w:val="0"/>
          <w:sz w:val="21"/>
        </w:rPr>
        <w:t>吨二氧化碳当量。</w:t>
      </w:r>
    </w:p>
    <w:p>
      <w:pPr>
        <w:jc w:val="left"/>
      </w:pPr>
      <w:r>
        <w:rPr>
          <w:rFonts w:ascii="等线" w:hAnsi="等线"/>
          <w:b w:val="0"/>
          <w:sz w:val="21"/>
        </w:rPr>
        <w:t>2. 能源利用效率：</w:t>
      </w:r>
    </w:p>
    <w:p>
      <w:pPr>
        <w:ind w:left="480"/>
        <w:jc w:val="left"/>
      </w:pPr>
      <w:r>
        <w:rPr>
          <w:rFonts w:ascii="等线" w:hAnsi="等线"/>
          <w:b w:val="0"/>
          <w:sz w:val="21"/>
        </w:rPr>
        <w:t>◦ 我们的能源利用效率提高了</w:t>
      </w:r>
      <w:r>
        <w:rPr>
          <w:rFonts w:ascii="等线" w:hAnsi="等线"/>
          <w:b w:val="0"/>
          <w:sz w:val="21"/>
          <w:highlight w:val="yellow"/>
        </w:rPr>
        <w:t>[X]</w:t>
      </w:r>
      <w:r>
        <w:rPr>
          <w:rFonts w:ascii="等线" w:hAnsi="等线"/>
          <w:b w:val="0"/>
          <w:sz w:val="21"/>
        </w:rPr>
        <w:t>%，单位产品的能源消耗降低了</w:t>
      </w:r>
      <w:r>
        <w:rPr>
          <w:rFonts w:ascii="等线" w:hAnsi="等线"/>
          <w:b w:val="0"/>
          <w:sz w:val="21"/>
          <w:highlight w:val="yellow"/>
        </w:rPr>
        <w:t>[X]</w:t>
      </w:r>
      <w:r>
        <w:rPr>
          <w:rFonts w:ascii="等线" w:hAnsi="等线"/>
          <w:b w:val="0"/>
          <w:sz w:val="21"/>
        </w:rPr>
        <w:t>%。</w:t>
      </w:r>
    </w:p>
    <w:p>
      <w:pPr>
        <w:jc w:val="left"/>
      </w:pPr>
      <w:r>
        <w:rPr>
          <w:rFonts w:ascii="等线" w:hAnsi="等线"/>
          <w:b w:val="0"/>
          <w:sz w:val="21"/>
        </w:rPr>
        <w:t>3. 其他减排成果：</w:t>
      </w:r>
    </w:p>
    <w:p>
      <w:pPr>
        <w:ind w:left="480"/>
        <w:jc w:val="left"/>
      </w:pPr>
      <w:r>
        <w:rPr>
          <w:rFonts w:ascii="等线" w:hAnsi="等线"/>
          <w:b w:val="0"/>
          <w:sz w:val="21"/>
        </w:rPr>
        <w:t>◦ 我们成功实施了</w:t>
      </w:r>
      <w:r>
        <w:rPr>
          <w:rFonts w:ascii="等线" w:hAnsi="等线"/>
          <w:b w:val="0"/>
          <w:sz w:val="21"/>
          <w:highlight w:val="yellow"/>
        </w:rPr>
        <w:t>[具体减排项目]</w:t>
      </w:r>
      <w:r>
        <w:rPr>
          <w:rFonts w:ascii="等线" w:hAnsi="等线"/>
          <w:b w:val="0"/>
          <w:sz w:val="21"/>
        </w:rPr>
        <w:t>，减少了</w:t>
      </w:r>
      <w:r>
        <w:rPr>
          <w:rFonts w:ascii="等线" w:hAnsi="等线"/>
          <w:b w:val="0"/>
          <w:sz w:val="21"/>
          <w:highlight w:val="yellow"/>
        </w:rPr>
        <w:t>[X]</w:t>
      </w:r>
      <w:r>
        <w:rPr>
          <w:rFonts w:ascii="等线" w:hAnsi="等线"/>
          <w:b w:val="0"/>
          <w:sz w:val="21"/>
        </w:rPr>
        <w:t>吨二氧化碳当量的排放。</w:t>
      </w:r>
    </w:p>
    <w:p>
      <w:pPr>
        <w:ind w:left="480"/>
        <w:jc w:val="left"/>
      </w:pPr>
      <w:r>
        <w:rPr>
          <w:rFonts w:ascii="等线" w:hAnsi="等线"/>
          <w:b w:val="0"/>
          <w:sz w:val="21"/>
        </w:rPr>
        <w:t>◦ 通过改进生产工艺，我们减少了</w:t>
      </w:r>
      <w:r>
        <w:rPr>
          <w:rFonts w:ascii="等线" w:hAnsi="等线"/>
          <w:b w:val="0"/>
          <w:sz w:val="21"/>
          <w:highlight w:val="yellow"/>
        </w:rPr>
        <w:t>[X]</w:t>
      </w:r>
      <w:r>
        <w:rPr>
          <w:rFonts w:ascii="等线" w:hAnsi="等线"/>
          <w:b w:val="0"/>
          <w:sz w:val="21"/>
        </w:rPr>
        <w:t>吨废弃物的产生。</w:t>
      </w:r>
    </w:p>
    <w:p>
      <w:pPr>
        <w:jc w:val="left"/>
      </w:pPr>
      <w:r>
        <w:rPr>
          <w:rFonts w:ascii="等线" w:hAnsi="等线"/>
          <w:b w:val="0"/>
          <w:sz w:val="21"/>
        </w:rPr>
        <w:t>四、全国温室气体自愿减排项目和核证自愿减排量（CCER）的登记与交易情况</w:t>
      </w:r>
    </w:p>
    <w:p>
      <w:pPr>
        <w:jc w:val="left"/>
      </w:pPr>
      <w:r>
        <w:rPr>
          <w:rFonts w:ascii="等线" w:hAnsi="等线"/>
          <w:b w:val="0"/>
          <w:sz w:val="21"/>
        </w:rPr>
        <w:t>我们积极参与全国温室气体自愿减排项目和核证自愿减排量（CCER）的登记与交易。截至</w:t>
      </w:r>
      <w:r>
        <w:rPr>
          <w:rFonts w:ascii="等线" w:hAnsi="等线"/>
          <w:b w:val="0"/>
          <w:sz w:val="21"/>
          <w:highlight w:val="yellow"/>
        </w:rPr>
        <w:t>[报告期末]</w:t>
      </w:r>
      <w:r>
        <w:rPr>
          <w:rFonts w:ascii="等线" w:hAnsi="等线"/>
          <w:b w:val="0"/>
          <w:sz w:val="21"/>
        </w:rPr>
        <w:t>，我们已登记的 CCER 项目数量为</w:t>
      </w:r>
      <w:r>
        <w:rPr>
          <w:rFonts w:ascii="等线" w:hAnsi="等线"/>
          <w:b w:val="0"/>
          <w:sz w:val="21"/>
          <w:highlight w:val="yellow"/>
        </w:rPr>
        <w:t>[X]</w:t>
      </w:r>
      <w:r>
        <w:rPr>
          <w:rFonts w:ascii="等线" w:hAnsi="等线"/>
          <w:b w:val="0"/>
          <w:sz w:val="21"/>
        </w:rPr>
        <w:t>个，减排量为</w:t>
      </w:r>
      <w:r>
        <w:rPr>
          <w:rFonts w:ascii="等线" w:hAnsi="等线"/>
          <w:b w:val="0"/>
          <w:sz w:val="21"/>
          <w:highlight w:val="yellow"/>
        </w:rPr>
        <w:t>[X]</w:t>
      </w:r>
      <w:r>
        <w:rPr>
          <w:rFonts w:ascii="等线" w:hAnsi="等线"/>
          <w:b w:val="0"/>
          <w:sz w:val="21"/>
        </w:rPr>
        <w:t>吨二氧化碳当量。我们通过参与 CCER 交易，获得了一定的经济收益，同时也为应对气候变化做出了贡献。</w:t>
      </w:r>
    </w:p>
    <w:p>
      <w:pPr>
        <w:jc w:val="left"/>
      </w:pPr>
      <w:r>
        <w:rPr>
          <w:rFonts w:ascii="等线" w:hAnsi="等线"/>
          <w:b w:val="0"/>
          <w:sz w:val="21"/>
        </w:rPr>
        <w:t>五、参与其他减排机制的项目和减排量登记与交易情况</w:t>
      </w:r>
    </w:p>
    <w:p>
      <w:pPr>
        <w:jc w:val="left"/>
      </w:pPr>
      <w:r>
        <w:rPr>
          <w:rFonts w:ascii="等线" w:hAnsi="等线"/>
          <w:b w:val="0"/>
          <w:sz w:val="21"/>
        </w:rPr>
        <w:t>除了参与全国温室气体自愿减排项目和 CCER 交易外，我们还积极参与其他减排机制的项目和减排量登记与交易。例如，我们参与了</w:t>
      </w:r>
      <w:r>
        <w:rPr>
          <w:rFonts w:ascii="等线" w:hAnsi="等线"/>
          <w:b w:val="0"/>
          <w:sz w:val="21"/>
          <w:highlight w:val="yellow"/>
        </w:rPr>
        <w:t>[具体减排机制项目]</w:t>
      </w:r>
      <w:r>
        <w:rPr>
          <w:rFonts w:ascii="等线" w:hAnsi="等线"/>
          <w:b w:val="0"/>
          <w:sz w:val="21"/>
        </w:rPr>
        <w:t>，减排量为</w:t>
      </w:r>
      <w:r>
        <w:rPr>
          <w:rFonts w:ascii="等线" w:hAnsi="等线"/>
          <w:b w:val="0"/>
          <w:sz w:val="21"/>
          <w:highlight w:val="yellow"/>
        </w:rPr>
        <w:t>[X]</w:t>
      </w:r>
      <w:r>
        <w:rPr>
          <w:rFonts w:ascii="等线" w:hAnsi="等线"/>
          <w:b w:val="0"/>
          <w:sz w:val="21"/>
        </w:rPr>
        <w:t>吨二氧化碳当量。通过参与这些项目，我们不仅实现了自身的减排目标，还为全球应对气候变化做出了积极贡献。</w:t>
      </w:r>
    </w:p>
    <w:p>
      <w:pPr>
        <w:jc w:val="left"/>
      </w:pPr>
      <w:r>
        <w:rPr>
          <w:rFonts w:ascii="等线" w:hAnsi="等线"/>
          <w:b w:val="0"/>
          <w:sz w:val="21"/>
        </w:rPr>
        <w:t>六、有利于减少碳排放、实现碳中和的新技术、新产品、新服务以及相关研发进展</w:t>
      </w:r>
    </w:p>
    <w:p>
      <w:pPr>
        <w:jc w:val="left"/>
      </w:pPr>
      <w:r>
        <w:rPr>
          <w:rFonts w:ascii="等线" w:hAnsi="等线"/>
          <w:b w:val="0"/>
          <w:sz w:val="21"/>
        </w:rPr>
        <w:t>我们致力于研发和推广有利于减少碳排放、实现碳中和的新技术、新产品、新服务。以下是我们在这方面的一些研发进展：</w:t>
      </w:r>
    </w:p>
    <w:p>
      <w:pPr>
        <w:jc w:val="left"/>
      </w:pPr>
      <w:r>
        <w:rPr>
          <w:rFonts w:ascii="等线" w:hAnsi="等线"/>
          <w:b w:val="0"/>
          <w:sz w:val="21"/>
        </w:rPr>
        <w:t>1. 新技术：</w:t>
      </w:r>
    </w:p>
    <w:p>
      <w:pPr>
        <w:ind w:left="480"/>
        <w:jc w:val="left"/>
      </w:pPr>
      <w:r>
        <w:rPr>
          <w:rFonts w:ascii="等线" w:hAnsi="等线"/>
          <w:b w:val="0"/>
          <w:sz w:val="21"/>
        </w:rPr>
        <w:t>◦ 我们正在研发</w:t>
      </w:r>
      <w:r>
        <w:rPr>
          <w:rFonts w:ascii="等线" w:hAnsi="等线"/>
          <w:b w:val="0"/>
          <w:sz w:val="21"/>
          <w:highlight w:val="yellow"/>
        </w:rPr>
        <w:t>[具体新技术名称]</w:t>
      </w:r>
      <w:r>
        <w:rPr>
          <w:rFonts w:ascii="等线" w:hAnsi="等线"/>
          <w:b w:val="0"/>
          <w:sz w:val="21"/>
        </w:rPr>
        <w:t>，该技术可以将</w:t>
      </w:r>
      <w:r>
        <w:rPr>
          <w:rFonts w:ascii="等线" w:hAnsi="等线"/>
          <w:b w:val="0"/>
          <w:sz w:val="21"/>
          <w:highlight w:val="yellow"/>
        </w:rPr>
        <w:t>[具体原材料]</w:t>
      </w:r>
      <w:r>
        <w:rPr>
          <w:rFonts w:ascii="等线" w:hAnsi="等线"/>
          <w:b w:val="0"/>
          <w:sz w:val="21"/>
        </w:rPr>
        <w:t>转化为</w:t>
      </w:r>
      <w:r>
        <w:rPr>
          <w:rFonts w:ascii="等线" w:hAnsi="等线"/>
          <w:b w:val="0"/>
          <w:sz w:val="21"/>
          <w:highlight w:val="yellow"/>
        </w:rPr>
        <w:t>[具体产品]</w:t>
      </w:r>
      <w:r>
        <w:rPr>
          <w:rFonts w:ascii="等线" w:hAnsi="等线"/>
          <w:b w:val="0"/>
          <w:sz w:val="21"/>
        </w:rPr>
        <w:t>，同时减少温室气体排放。</w:t>
      </w:r>
    </w:p>
    <w:p>
      <w:pPr>
        <w:ind w:left="480"/>
        <w:jc w:val="left"/>
      </w:pPr>
      <w:r>
        <w:rPr>
          <w:rFonts w:ascii="等线" w:hAnsi="等线"/>
          <w:b w:val="0"/>
          <w:sz w:val="21"/>
        </w:rPr>
        <w:t>◦ 该技术的研发投入为</w:t>
      </w:r>
      <w:r>
        <w:rPr>
          <w:rFonts w:ascii="等线" w:hAnsi="等线"/>
          <w:b w:val="0"/>
          <w:sz w:val="21"/>
          <w:highlight w:val="yellow"/>
        </w:rPr>
        <w:t>[X]</w:t>
      </w:r>
      <w:r>
        <w:rPr>
          <w:rFonts w:ascii="等线" w:hAnsi="等线"/>
          <w:b w:val="0"/>
          <w:sz w:val="21"/>
        </w:rPr>
        <w:t>万元，目前已取得了</w:t>
      </w:r>
      <w:r>
        <w:rPr>
          <w:rFonts w:ascii="等线" w:hAnsi="等线"/>
          <w:b w:val="0"/>
          <w:sz w:val="21"/>
          <w:highlight w:val="yellow"/>
        </w:rPr>
        <w:t>[具体研发成果]</w:t>
      </w:r>
      <w:r>
        <w:rPr>
          <w:rFonts w:ascii="等线" w:hAnsi="等线"/>
          <w:b w:val="0"/>
          <w:sz w:val="21"/>
        </w:rPr>
        <w:t>，预计在</w:t>
      </w:r>
      <w:r>
        <w:rPr>
          <w:rFonts w:ascii="等线" w:hAnsi="等线"/>
          <w:b w:val="0"/>
          <w:sz w:val="21"/>
          <w:highlight w:val="yellow"/>
        </w:rPr>
        <w:t>[具体时间]</w:t>
      </w:r>
      <w:r>
        <w:rPr>
          <w:rFonts w:ascii="等线" w:hAnsi="等线"/>
          <w:b w:val="0"/>
          <w:sz w:val="21"/>
        </w:rPr>
        <w:t>实现商业化应用。</w:t>
      </w:r>
    </w:p>
    <w:p>
      <w:pPr>
        <w:jc w:val="left"/>
      </w:pPr>
      <w:r>
        <w:rPr>
          <w:rFonts w:ascii="等线" w:hAnsi="等线"/>
          <w:b w:val="0"/>
          <w:sz w:val="21"/>
        </w:rPr>
        <w:t>2. 新产品：</w:t>
      </w:r>
    </w:p>
    <w:p>
      <w:pPr>
        <w:ind w:left="480"/>
        <w:jc w:val="left"/>
      </w:pPr>
      <w:r>
        <w:rPr>
          <w:rFonts w:ascii="等线" w:hAnsi="等线"/>
          <w:b w:val="0"/>
          <w:sz w:val="21"/>
        </w:rPr>
        <w:t>◦ 我们推出了</w:t>
      </w:r>
      <w:r>
        <w:rPr>
          <w:rFonts w:ascii="等线" w:hAnsi="等线"/>
          <w:b w:val="0"/>
          <w:sz w:val="21"/>
          <w:highlight w:val="yellow"/>
        </w:rPr>
        <w:t>[具体新产品名称]</w:t>
      </w:r>
      <w:r>
        <w:rPr>
          <w:rFonts w:ascii="等线" w:hAnsi="等线"/>
          <w:b w:val="0"/>
          <w:sz w:val="21"/>
        </w:rPr>
        <w:t>，该产品采用了</w:t>
      </w:r>
      <w:r>
        <w:rPr>
          <w:rFonts w:ascii="等线" w:hAnsi="等线"/>
          <w:b w:val="0"/>
          <w:sz w:val="21"/>
          <w:highlight w:val="yellow"/>
        </w:rPr>
        <w:t>[具体低碳技术]</w:t>
      </w:r>
      <w:r>
        <w:rPr>
          <w:rFonts w:ascii="等线" w:hAnsi="等线"/>
          <w:b w:val="0"/>
          <w:sz w:val="21"/>
        </w:rPr>
        <w:t>，可以有效减少温室气体排放。</w:t>
      </w:r>
    </w:p>
    <w:p>
      <w:pPr>
        <w:ind w:left="480"/>
        <w:jc w:val="left"/>
      </w:pPr>
      <w:r>
        <w:rPr>
          <w:rFonts w:ascii="等线" w:hAnsi="等线"/>
          <w:b w:val="0"/>
          <w:sz w:val="21"/>
        </w:rPr>
        <w:t>◦ 该产品已获得了</w:t>
      </w:r>
      <w:r>
        <w:rPr>
          <w:rFonts w:ascii="等线" w:hAnsi="等线"/>
          <w:b w:val="0"/>
          <w:sz w:val="21"/>
          <w:highlight w:val="yellow"/>
        </w:rPr>
        <w:t>[具体认证或审批]</w:t>
      </w:r>
      <w:r>
        <w:rPr>
          <w:rFonts w:ascii="等线" w:hAnsi="等线"/>
          <w:b w:val="0"/>
          <w:sz w:val="21"/>
        </w:rPr>
        <w:t>，具备了规模化生产能力，目前已接到了</w:t>
      </w:r>
      <w:r>
        <w:rPr>
          <w:rFonts w:ascii="等线" w:hAnsi="等线"/>
          <w:b w:val="0"/>
          <w:sz w:val="21"/>
          <w:highlight w:val="yellow"/>
        </w:rPr>
        <w:t>[X]</w:t>
      </w:r>
      <w:r>
        <w:rPr>
          <w:rFonts w:ascii="等线" w:hAnsi="等线"/>
          <w:b w:val="0"/>
          <w:sz w:val="21"/>
        </w:rPr>
        <w:t>份订单。</w:t>
      </w:r>
    </w:p>
    <w:p>
      <w:pPr>
        <w:jc w:val="left"/>
      </w:pPr>
      <w:r>
        <w:rPr>
          <w:rFonts w:ascii="等线" w:hAnsi="等线"/>
          <w:b w:val="0"/>
          <w:sz w:val="21"/>
        </w:rPr>
        <w:t>3. 新服务：</w:t>
      </w:r>
    </w:p>
    <w:p>
      <w:pPr>
        <w:ind w:left="480"/>
        <w:jc w:val="left"/>
      </w:pPr>
      <w:r>
        <w:rPr>
          <w:rFonts w:ascii="等线" w:hAnsi="等线"/>
          <w:b w:val="0"/>
          <w:sz w:val="21"/>
        </w:rPr>
        <w:t>◦ 我们提供了</w:t>
      </w:r>
      <w:r>
        <w:rPr>
          <w:rFonts w:ascii="等线" w:hAnsi="等线"/>
          <w:b w:val="0"/>
          <w:sz w:val="21"/>
          <w:highlight w:val="yellow"/>
        </w:rPr>
        <w:t>[具体新服务名称]</w:t>
      </w:r>
      <w:r>
        <w:rPr>
          <w:rFonts w:ascii="等线" w:hAnsi="等线"/>
          <w:b w:val="0"/>
          <w:sz w:val="21"/>
        </w:rPr>
        <w:t>，该服务可以帮助客户降低温室气体排放，提高能源利用效率。</w:t>
      </w:r>
    </w:p>
    <w:p>
      <w:pPr>
        <w:ind w:left="480"/>
        <w:jc w:val="left"/>
      </w:pPr>
      <w:r>
        <w:rPr>
          <w:rFonts w:ascii="等线" w:hAnsi="等线"/>
          <w:b w:val="0"/>
          <w:sz w:val="21"/>
        </w:rPr>
        <w:t>◦ 该服务已在</w:t>
      </w:r>
      <w:r>
        <w:rPr>
          <w:rFonts w:ascii="等线" w:hAnsi="等线"/>
          <w:b w:val="0"/>
          <w:sz w:val="21"/>
          <w:highlight w:val="yellow"/>
        </w:rPr>
        <w:t>[具体客户]</w:t>
      </w:r>
      <w:r>
        <w:rPr>
          <w:rFonts w:ascii="等线" w:hAnsi="等线"/>
          <w:b w:val="0"/>
          <w:sz w:val="21"/>
        </w:rPr>
        <w:t>中得到应用，取得了良好的效果。</w:t>
      </w:r>
    </w:p>
    <w:p>
      <w:pPr>
        <w:jc w:val="left"/>
      </w:pPr>
      <w:r>
        <w:rPr>
          <w:rFonts w:ascii="等线" w:hAnsi="等线"/>
          <w:b w:val="0"/>
          <w:sz w:val="21"/>
        </w:rPr>
        <w:t>七、对披露主体当期及未来财务状况和经营成果的影响，以及可能存在的不确定性和风险</w:t>
      </w:r>
    </w:p>
    <w:p>
      <w:pPr>
        <w:jc w:val="left"/>
      </w:pPr>
      <w:r>
        <w:rPr>
          <w:rFonts w:ascii="等线" w:hAnsi="等线"/>
          <w:b w:val="0"/>
          <w:sz w:val="21"/>
        </w:rPr>
        <w:t>我们的减排措施和新技术、新产品、新服务的研发与推广，对我们的当期及未来财务状况和经营成果产生了积极影响。具体表现在以下几个方面：</w:t>
      </w:r>
    </w:p>
    <w:p>
      <w:pPr>
        <w:jc w:val="left"/>
      </w:pPr>
      <w:r>
        <w:rPr>
          <w:rFonts w:ascii="等线" w:hAnsi="等线"/>
          <w:b w:val="0"/>
          <w:sz w:val="21"/>
        </w:rPr>
        <w:t>1. 成本降低：通过提高能源利用效率和减少废弃物的产生，我们降低了生产成本，提高了企业的竞争力。</w:t>
      </w:r>
    </w:p>
    <w:p>
      <w:pPr>
        <w:jc w:val="left"/>
      </w:pPr>
      <w:r>
        <w:rPr>
          <w:rFonts w:ascii="等线" w:hAnsi="等线"/>
          <w:b w:val="0"/>
          <w:sz w:val="21"/>
        </w:rPr>
        <w:t>2. 市场机会：随着全球对气候变化的关注不断增加，低碳产品和服务的市场需求也在不断增长。我们的新技术、新产品、新服务将为我们带来更多的市场机会。</w:t>
      </w:r>
    </w:p>
    <w:p>
      <w:pPr>
        <w:jc w:val="left"/>
      </w:pPr>
      <w:r>
        <w:rPr>
          <w:rFonts w:ascii="等线" w:hAnsi="等线"/>
          <w:b w:val="0"/>
          <w:sz w:val="21"/>
        </w:rPr>
        <w:t>3. 品牌形象提升：我们积极应对气候变化，采取了一系列减排措施，提升了企业的社会责任感和品牌形象。</w:t>
      </w:r>
    </w:p>
    <w:p>
      <w:pPr>
        <w:jc w:val="left"/>
      </w:pPr>
      <w:r>
        <w:rPr>
          <w:rFonts w:ascii="等线" w:hAnsi="等线"/>
          <w:b w:val="0"/>
          <w:sz w:val="21"/>
        </w:rPr>
        <w:t>然而，我们也面临一些不确定性和风险，例如：</w:t>
      </w:r>
    </w:p>
    <w:p>
      <w:pPr>
        <w:jc w:val="left"/>
      </w:pPr>
      <w:r>
        <w:rPr>
          <w:rFonts w:ascii="等线" w:hAnsi="等线"/>
          <w:b w:val="0"/>
          <w:sz w:val="21"/>
        </w:rPr>
        <w:t>1. 技术风险：新技术的研发和应用存在一定的风险，如果技术不成熟或无法实现商业化应用，将对我们的财务状况和经营成果产生不利影响。</w:t>
      </w:r>
    </w:p>
    <w:p>
      <w:pPr>
        <w:jc w:val="left"/>
      </w:pPr>
      <w:r>
        <w:rPr>
          <w:rFonts w:ascii="等线" w:hAnsi="等线"/>
          <w:b w:val="0"/>
          <w:sz w:val="21"/>
        </w:rPr>
        <w:t>2. 市场风险：低碳产品和服务的市场需求受到政策、经济等因素的影响，如果市场需求不足，将对我们的业务发展产生不利影响。</w:t>
      </w:r>
    </w:p>
    <w:p>
      <w:pPr>
        <w:jc w:val="left"/>
      </w:pPr>
      <w:r>
        <w:rPr>
          <w:rFonts w:ascii="等线" w:hAnsi="等线"/>
          <w:b w:val="0"/>
          <w:sz w:val="21"/>
        </w:rPr>
        <w:t>3. 政策风险：气候变化政策的变化可能对我们的业务产生不利影响，例如，政府可能出台更加严格的温室气体排放标准，或者取消对低碳产品和服务的补贴政策。</w:t>
      </w:r>
    </w:p>
    <w:p>
      <w:pPr>
        <w:jc w:val="left"/>
      </w:pPr>
      <w:r>
        <w:rPr>
          <w:rFonts w:ascii="等线" w:hAnsi="等线"/>
          <w:b w:val="0"/>
          <w:sz w:val="21"/>
        </w:rPr>
        <w:t>为了应对这些不确定性和风险，我们将采取以下措施：</w:t>
      </w:r>
    </w:p>
    <w:p>
      <w:pPr>
        <w:jc w:val="left"/>
      </w:pPr>
      <w:r>
        <w:rPr>
          <w:rFonts w:ascii="等线" w:hAnsi="等线"/>
          <w:b w:val="0"/>
          <w:sz w:val="21"/>
        </w:rPr>
        <w:t>1. 加强技术研发：加大对技术研发的投入，提高技术创新能力，降低技术风险。</w:t>
      </w:r>
    </w:p>
    <w:p>
      <w:pPr>
        <w:jc w:val="left"/>
      </w:pPr>
      <w:r>
        <w:rPr>
          <w:rFonts w:ascii="等线" w:hAnsi="等线"/>
          <w:b w:val="0"/>
          <w:sz w:val="21"/>
        </w:rPr>
        <w:t>2. 拓展市场渠道：加强市场调研，拓展市场渠道，提高市场份额，降低市场风险。</w:t>
      </w:r>
    </w:p>
    <w:p>
      <w:pPr>
        <w:jc w:val="left"/>
      </w:pPr>
      <w:r>
        <w:rPr>
          <w:rFonts w:ascii="等线" w:hAnsi="等线"/>
          <w:b w:val="0"/>
          <w:sz w:val="21"/>
        </w:rPr>
        <w:t>3. 关注政策变化：密切关注气候变化政策的变化，及时调整企业的发展战略，降低政策风险。</w:t>
      </w:r>
    </w:p>
    <w:p>
      <w:pPr>
        <w:jc w:val="left"/>
      </w:pPr>
      <w:r>
        <w:rPr>
          <w:rFonts w:ascii="等线" w:hAnsi="等线"/>
          <w:b w:val="0"/>
          <w:sz w:val="21"/>
        </w:rPr>
        <w:t>总之，我们将继续致力于减少温室气体排放，应对气候变化，为实现可持续发展做出贡献。同时，我们也将积极应对各种不确定性和风险，确保企业的可持续发展。</w:t>
      </w:r>
    </w:p>
    <w:p>
      <w:pPr>
        <w:pStyle w:val="Heading2"/>
      </w:pPr>
      <w:r>
        <w:rPr>
          <w:rFonts w:ascii="等线" w:hAnsi="等线" w:eastAsia="等线"/>
          <w:color w:val="000000"/>
          <w:sz w:val="32"/>
        </w:rPr>
        <w:t>污染物排放</w:t>
      </w:r>
    </w:p>
    <w:p>
      <w:pPr>
        <w:jc w:val="left"/>
      </w:pPr>
      <w:r>
        <w:rPr>
          <w:rFonts w:ascii="等线" w:hAnsi="等线"/>
          <w:b w:val="0"/>
          <w:sz w:val="21"/>
        </w:rPr>
        <w:t>环境-污染物排放</w:t>
      </w:r>
    </w:p>
    <w:p>
      <w:pPr>
        <w:jc w:val="left"/>
      </w:pPr>
      <w:r>
        <w:rPr>
          <w:rFonts w:ascii="等线" w:hAnsi="等线"/>
          <w:b w:val="0"/>
          <w:sz w:val="21"/>
        </w:rPr>
        <w:t>一、排污信息</w:t>
      </w:r>
    </w:p>
    <w:p>
      <w:pPr>
        <w:jc w:val="left"/>
      </w:pPr>
      <w:r>
        <w:rPr>
          <w:rFonts w:ascii="等线" w:hAnsi="等线"/>
          <w:b w:val="0"/>
          <w:sz w:val="21"/>
        </w:rPr>
        <w:t>本公司作为一家面向国际市场的大型民营汽车零部件企业，高度重视环境保护工作。我们致力于减少污染物排放，提高资源利用效率，推动可持续发展。以下是本公司在污染物排放方面的相关信息：</w:t>
      </w:r>
    </w:p>
    <w:p>
      <w:pPr>
        <w:jc w:val="left"/>
      </w:pPr>
      <w:r>
        <w:rPr>
          <w:rFonts w:ascii="等线" w:hAnsi="等线"/>
          <w:b w:val="0"/>
          <w:sz w:val="21"/>
        </w:rPr>
        <w:t>1. 主要污染物：我们的生产过程中产生的主要污染物包括废气、废水和固体废物。其中，废气主要包括挥发性有机物（VOCs）、氮氧化物（NOx）和颗粒物（PM）等；废水主要包括化学需氧量（COD）、氨氮（NH3-N）和总磷（TP）等；固体废物主要包括金属废料、塑料废料和危险废物等。</w:t>
      </w:r>
    </w:p>
    <w:p>
      <w:pPr>
        <w:jc w:val="left"/>
      </w:pPr>
      <w:r>
        <w:rPr>
          <w:rFonts w:ascii="等线" w:hAnsi="等线"/>
          <w:b w:val="0"/>
          <w:sz w:val="21"/>
        </w:rPr>
        <w:t>2. 特征污染物：根据我们的生产特点和环境影响评估，确定了以下特征污染物：苯、甲苯、二甲苯、甲醛、重金属等。</w:t>
      </w:r>
    </w:p>
    <w:p>
      <w:pPr>
        <w:jc w:val="left"/>
      </w:pPr>
      <w:r>
        <w:rPr>
          <w:rFonts w:ascii="等线" w:hAnsi="等线"/>
          <w:b w:val="0"/>
          <w:sz w:val="21"/>
        </w:rPr>
        <w:t>3. 排放总量：本公司严格遵守国家和地方的环保法规，对污染物排放进行了严格的控制。根据最新的环境监测数据，我们的主要污染物排放总量如下：</w:t>
      </w:r>
    </w:p>
    <w:p>
      <w:pPr>
        <w:ind w:left="480"/>
        <w:jc w:val="left"/>
      </w:pPr>
      <w:r>
        <w:rPr>
          <w:rFonts w:ascii="等线" w:hAnsi="等线"/>
          <w:b w:val="0"/>
          <w:sz w:val="21"/>
        </w:rPr>
        <w:t>◦ 废气：VOCs 排放量为</w:t>
      </w:r>
      <w:r>
        <w:rPr>
          <w:rFonts w:ascii="等线" w:hAnsi="等线"/>
          <w:b w:val="0"/>
          <w:sz w:val="21"/>
          <w:highlight w:val="yellow"/>
        </w:rPr>
        <w:t>[X]</w:t>
      </w:r>
      <w:r>
        <w:rPr>
          <w:rFonts w:ascii="等线" w:hAnsi="等线"/>
          <w:b w:val="0"/>
          <w:sz w:val="21"/>
        </w:rPr>
        <w:t>吨/年，NOx 排放量为</w:t>
      </w:r>
      <w:r>
        <w:rPr>
          <w:rFonts w:ascii="等线" w:hAnsi="等线"/>
          <w:b w:val="0"/>
          <w:sz w:val="21"/>
          <w:highlight w:val="yellow"/>
        </w:rPr>
        <w:t>[X]</w:t>
      </w:r>
      <w:r>
        <w:rPr>
          <w:rFonts w:ascii="等线" w:hAnsi="等线"/>
          <w:b w:val="0"/>
          <w:sz w:val="21"/>
        </w:rPr>
        <w:t>吨/年，PM 排放量为</w:t>
      </w:r>
      <w:r>
        <w:rPr>
          <w:rFonts w:ascii="等线" w:hAnsi="等线"/>
          <w:b w:val="0"/>
          <w:sz w:val="21"/>
          <w:highlight w:val="yellow"/>
        </w:rPr>
        <w:t>[X]</w:t>
      </w:r>
      <w:r>
        <w:rPr>
          <w:rFonts w:ascii="等线" w:hAnsi="等线"/>
          <w:b w:val="0"/>
          <w:sz w:val="21"/>
        </w:rPr>
        <w:t>吨/年。</w:t>
      </w:r>
    </w:p>
    <w:p>
      <w:pPr>
        <w:ind w:left="480"/>
        <w:jc w:val="left"/>
      </w:pPr>
      <w:r>
        <w:rPr>
          <w:rFonts w:ascii="等线" w:hAnsi="等线"/>
          <w:b w:val="0"/>
          <w:sz w:val="21"/>
        </w:rPr>
        <w:t>◦ 废水：COD 排放量为</w:t>
      </w:r>
      <w:r>
        <w:rPr>
          <w:rFonts w:ascii="等线" w:hAnsi="等线"/>
          <w:b w:val="0"/>
          <w:sz w:val="21"/>
          <w:highlight w:val="yellow"/>
        </w:rPr>
        <w:t>[X]</w:t>
      </w:r>
      <w:r>
        <w:rPr>
          <w:rFonts w:ascii="等线" w:hAnsi="等线"/>
          <w:b w:val="0"/>
          <w:sz w:val="21"/>
        </w:rPr>
        <w:t>吨/年，NH3-N 排放量为</w:t>
      </w:r>
      <w:r>
        <w:rPr>
          <w:rFonts w:ascii="等线" w:hAnsi="等线"/>
          <w:b w:val="0"/>
          <w:sz w:val="21"/>
          <w:highlight w:val="yellow"/>
        </w:rPr>
        <w:t>[X]</w:t>
      </w:r>
      <w:r>
        <w:rPr>
          <w:rFonts w:ascii="等线" w:hAnsi="等线"/>
          <w:b w:val="0"/>
          <w:sz w:val="21"/>
        </w:rPr>
        <w:t>吨/年，TP 排放量为</w:t>
      </w:r>
      <w:r>
        <w:rPr>
          <w:rFonts w:ascii="等线" w:hAnsi="等线"/>
          <w:b w:val="0"/>
          <w:sz w:val="21"/>
          <w:highlight w:val="yellow"/>
        </w:rPr>
        <w:t>[X]</w:t>
      </w:r>
      <w:r>
        <w:rPr>
          <w:rFonts w:ascii="等线" w:hAnsi="等线"/>
          <w:b w:val="0"/>
          <w:sz w:val="21"/>
        </w:rPr>
        <w:t>吨/年。</w:t>
      </w:r>
    </w:p>
    <w:p>
      <w:pPr>
        <w:ind w:left="480"/>
        <w:jc w:val="left"/>
      </w:pPr>
      <w:r>
        <w:rPr>
          <w:rFonts w:ascii="等线" w:hAnsi="等线"/>
          <w:b w:val="0"/>
          <w:sz w:val="21"/>
        </w:rPr>
        <w:t>◦ 固体废物：金属废料产生量为</w:t>
      </w:r>
      <w:r>
        <w:rPr>
          <w:rFonts w:ascii="等线" w:hAnsi="等线"/>
          <w:b w:val="0"/>
          <w:sz w:val="21"/>
          <w:highlight w:val="yellow"/>
        </w:rPr>
        <w:t>[X]</w:t>
      </w:r>
      <w:r>
        <w:rPr>
          <w:rFonts w:ascii="等线" w:hAnsi="等线"/>
          <w:b w:val="0"/>
          <w:sz w:val="21"/>
        </w:rPr>
        <w:t>吨/年，塑料废料产生量为</w:t>
      </w:r>
      <w:r>
        <w:rPr>
          <w:rFonts w:ascii="等线" w:hAnsi="等线"/>
          <w:b w:val="0"/>
          <w:sz w:val="21"/>
          <w:highlight w:val="yellow"/>
        </w:rPr>
        <w:t>[X]</w:t>
      </w:r>
      <w:r>
        <w:rPr>
          <w:rFonts w:ascii="等线" w:hAnsi="等线"/>
          <w:b w:val="0"/>
          <w:sz w:val="21"/>
        </w:rPr>
        <w:t>吨/年，危险废物产生量为</w:t>
      </w:r>
      <w:r>
        <w:rPr>
          <w:rFonts w:ascii="等线" w:hAnsi="等线"/>
          <w:b w:val="0"/>
          <w:sz w:val="21"/>
          <w:highlight w:val="yellow"/>
        </w:rPr>
        <w:t>[X]</w:t>
      </w:r>
      <w:r>
        <w:rPr>
          <w:rFonts w:ascii="等线" w:hAnsi="等线"/>
          <w:b w:val="0"/>
          <w:sz w:val="21"/>
        </w:rPr>
        <w:t>吨/年。</w:t>
      </w:r>
    </w:p>
    <w:p>
      <w:pPr>
        <w:jc w:val="left"/>
      </w:pPr>
      <w:r>
        <w:rPr>
          <w:rFonts w:ascii="等线" w:hAnsi="等线"/>
          <w:b w:val="0"/>
          <w:sz w:val="21"/>
        </w:rPr>
        <w:t>4. 核定的排放总量：本公司的污染物排放总量均在核定的排放总量范围内。我们严格按照环保部门的要求，定期进行污染物排放监测和申报，确保排放总量符合规定。</w:t>
      </w:r>
    </w:p>
    <w:p>
      <w:pPr>
        <w:jc w:val="left"/>
      </w:pPr>
      <w:r>
        <w:rPr>
          <w:rFonts w:ascii="等线" w:hAnsi="等线"/>
          <w:b w:val="0"/>
          <w:sz w:val="21"/>
        </w:rPr>
        <w:t>5. 超标排放情况：本公司在报告期内未发生超标排放情况。我们建立了完善的环境管理体系，加强了对生产过程的监控和管理，确保污染物达标排放。</w:t>
      </w:r>
    </w:p>
    <w:p>
      <w:pPr>
        <w:jc w:val="left"/>
      </w:pPr>
      <w:r>
        <w:rPr>
          <w:rFonts w:ascii="等线" w:hAnsi="等线"/>
          <w:b w:val="0"/>
          <w:sz w:val="21"/>
        </w:rPr>
        <w:t>6. 环保绩效等级情况：本公司的环保绩效等级为</w:t>
      </w:r>
      <w:r>
        <w:rPr>
          <w:rFonts w:ascii="等线" w:hAnsi="等线"/>
          <w:b w:val="0"/>
          <w:sz w:val="21"/>
          <w:highlight w:val="yellow"/>
        </w:rPr>
        <w:t>[具体等级]</w:t>
      </w:r>
      <w:r>
        <w:rPr>
          <w:rFonts w:ascii="等线" w:hAnsi="等线"/>
          <w:b w:val="0"/>
          <w:sz w:val="21"/>
        </w:rPr>
        <w:t>。我们将继续努力，不断提高环保绩效水平，为保护环境做出更大的贡献。</w:t>
      </w:r>
    </w:p>
    <w:p>
      <w:pPr>
        <w:jc w:val="left"/>
      </w:pPr>
      <w:r>
        <w:rPr>
          <w:rFonts w:ascii="等线" w:hAnsi="等线"/>
          <w:b w:val="0"/>
          <w:sz w:val="21"/>
        </w:rPr>
        <w:t>二、污染物的处理技术和处理方式</w:t>
      </w:r>
    </w:p>
    <w:p>
      <w:pPr>
        <w:jc w:val="left"/>
      </w:pPr>
      <w:r>
        <w:rPr>
          <w:rFonts w:ascii="等线" w:hAnsi="等线"/>
          <w:b w:val="0"/>
          <w:sz w:val="21"/>
        </w:rPr>
        <w:t>1. 废气处理：我们采用了先进的废气处理技术，包括活性炭吸附、催化燃烧、等离子体处理等。这些技术能够有效地去除废气中的有害物质，确保废气达标排放。</w:t>
      </w:r>
    </w:p>
    <w:p>
      <w:pPr>
        <w:jc w:val="left"/>
      </w:pPr>
      <w:r>
        <w:rPr>
          <w:rFonts w:ascii="等线" w:hAnsi="等线"/>
          <w:b w:val="0"/>
          <w:sz w:val="21"/>
        </w:rPr>
        <w:t>2. 废水处理：我们建立了完善的废水处理系统，采用了物理、化学和生物处理相结合的方法，对废水进行处理。处理后的废水达到了国家和地方的排放标准，可以回用或排放。</w:t>
      </w:r>
    </w:p>
    <w:p>
      <w:pPr>
        <w:jc w:val="left"/>
      </w:pPr>
      <w:r>
        <w:rPr>
          <w:rFonts w:ascii="等线" w:hAnsi="等线"/>
          <w:b w:val="0"/>
          <w:sz w:val="21"/>
        </w:rPr>
        <w:t>3. 固体废物处理：我们对固体废物进行分类收集、储存和处理。金属废料和塑料废料等一般固体废物进行回收利用；危险废物则委托有资质的单位进行处理。</w:t>
      </w:r>
    </w:p>
    <w:p>
      <w:pPr>
        <w:jc w:val="left"/>
      </w:pPr>
      <w:r>
        <w:rPr>
          <w:rFonts w:ascii="等线" w:hAnsi="等线"/>
          <w:b w:val="0"/>
          <w:sz w:val="21"/>
        </w:rPr>
        <w:t>三、主要污染物减排目标及为达到相关目标所采取的具体措施</w:t>
      </w:r>
    </w:p>
    <w:p>
      <w:pPr>
        <w:jc w:val="left"/>
      </w:pPr>
      <w:r>
        <w:rPr>
          <w:rFonts w:ascii="等线" w:hAnsi="等线"/>
          <w:b w:val="0"/>
          <w:sz w:val="21"/>
        </w:rPr>
        <w:t>1. 减排目标：本公司制定了明确的主要污染物减排目标，即到</w:t>
      </w:r>
      <w:r>
        <w:rPr>
          <w:rFonts w:ascii="等线" w:hAnsi="等线"/>
          <w:b w:val="0"/>
          <w:sz w:val="21"/>
          <w:highlight w:val="yellow"/>
        </w:rPr>
        <w:t>[具体年份]</w:t>
      </w:r>
      <w:r>
        <w:rPr>
          <w:rFonts w:ascii="等线" w:hAnsi="等线"/>
          <w:b w:val="0"/>
          <w:sz w:val="21"/>
        </w:rPr>
        <w:t>，VOCs 排放量较</w:t>
      </w:r>
      <w:r>
        <w:rPr>
          <w:rFonts w:ascii="等线" w:hAnsi="等线"/>
          <w:b w:val="0"/>
          <w:sz w:val="21"/>
          <w:highlight w:val="yellow"/>
        </w:rPr>
        <w:t>[基准年份]</w:t>
      </w:r>
      <w:r>
        <w:rPr>
          <w:rFonts w:ascii="等线" w:hAnsi="等线"/>
          <w:b w:val="0"/>
          <w:sz w:val="21"/>
        </w:rPr>
        <w:t>减少</w:t>
      </w:r>
      <w:r>
        <w:rPr>
          <w:rFonts w:ascii="等线" w:hAnsi="等线"/>
          <w:b w:val="0"/>
          <w:sz w:val="21"/>
          <w:highlight w:val="yellow"/>
        </w:rPr>
        <w:t>[X]</w:t>
      </w:r>
      <w:r>
        <w:rPr>
          <w:rFonts w:ascii="等线" w:hAnsi="等线"/>
          <w:b w:val="0"/>
          <w:sz w:val="21"/>
        </w:rPr>
        <w:t>%，NOx 排放量较</w:t>
      </w:r>
      <w:r>
        <w:rPr>
          <w:rFonts w:ascii="等线" w:hAnsi="等线"/>
          <w:b w:val="0"/>
          <w:sz w:val="21"/>
          <w:highlight w:val="yellow"/>
        </w:rPr>
        <w:t>[基准年份]</w:t>
      </w:r>
      <w:r>
        <w:rPr>
          <w:rFonts w:ascii="等线" w:hAnsi="等线"/>
          <w:b w:val="0"/>
          <w:sz w:val="21"/>
        </w:rPr>
        <w:t>减少</w:t>
      </w:r>
      <w:r>
        <w:rPr>
          <w:rFonts w:ascii="等线" w:hAnsi="等线"/>
          <w:b w:val="0"/>
          <w:sz w:val="21"/>
          <w:highlight w:val="yellow"/>
        </w:rPr>
        <w:t>[X]</w:t>
      </w:r>
      <w:r>
        <w:rPr>
          <w:rFonts w:ascii="等线" w:hAnsi="等线"/>
          <w:b w:val="0"/>
          <w:sz w:val="21"/>
        </w:rPr>
        <w:t>%，PM 排放量较</w:t>
      </w:r>
      <w:r>
        <w:rPr>
          <w:rFonts w:ascii="等线" w:hAnsi="等线"/>
          <w:b w:val="0"/>
          <w:sz w:val="21"/>
          <w:highlight w:val="yellow"/>
        </w:rPr>
        <w:t>[基准年份]</w:t>
      </w:r>
      <w:r>
        <w:rPr>
          <w:rFonts w:ascii="等线" w:hAnsi="等线"/>
          <w:b w:val="0"/>
          <w:sz w:val="21"/>
        </w:rPr>
        <w:t>减少</w:t>
      </w:r>
      <w:r>
        <w:rPr>
          <w:rFonts w:ascii="等线" w:hAnsi="等线"/>
          <w:b w:val="0"/>
          <w:sz w:val="21"/>
          <w:highlight w:val="yellow"/>
        </w:rPr>
        <w:t>[X]</w:t>
      </w:r>
      <w:r>
        <w:rPr>
          <w:rFonts w:ascii="等线" w:hAnsi="等线"/>
          <w:b w:val="0"/>
          <w:sz w:val="21"/>
        </w:rPr>
        <w:t>%。</w:t>
      </w:r>
    </w:p>
    <w:p>
      <w:pPr>
        <w:jc w:val="left"/>
      </w:pPr>
      <w:r>
        <w:rPr>
          <w:rFonts w:ascii="等线" w:hAnsi="等线"/>
          <w:b w:val="0"/>
          <w:sz w:val="21"/>
        </w:rPr>
        <w:t>2. 具体措施：为了达到减排目标，我们采取了以下具体措施：</w:t>
      </w:r>
    </w:p>
    <w:p>
      <w:pPr>
        <w:ind w:left="480"/>
        <w:jc w:val="left"/>
      </w:pPr>
      <w:r>
        <w:rPr>
          <w:rFonts w:ascii="等线" w:hAnsi="等线"/>
          <w:b w:val="0"/>
          <w:sz w:val="21"/>
        </w:rPr>
        <w:t>◦ 优化生产工艺：通过改进生产工艺，减少原材料的消耗和污染物的产生。</w:t>
      </w:r>
    </w:p>
    <w:p>
      <w:pPr>
        <w:ind w:left="480"/>
        <w:jc w:val="left"/>
      </w:pPr>
      <w:r>
        <w:rPr>
          <w:rFonts w:ascii="等线" w:hAnsi="等线"/>
          <w:b w:val="0"/>
          <w:sz w:val="21"/>
        </w:rPr>
        <w:t>◦ 加强设备维护：定期对生产设备进行维护和保养，确保设备的正常运行，减少污染物的排放。</w:t>
      </w:r>
    </w:p>
    <w:p>
      <w:pPr>
        <w:ind w:left="480"/>
        <w:jc w:val="left"/>
      </w:pPr>
      <w:r>
        <w:rPr>
          <w:rFonts w:ascii="等线" w:hAnsi="等线"/>
          <w:b w:val="0"/>
          <w:sz w:val="21"/>
        </w:rPr>
        <w:t>◦ 推广清洁能源：逐步推广使用清洁能源，如太阳能、风能等，减少对传统能源的依赖，降低污染物的排放。</w:t>
      </w:r>
    </w:p>
    <w:p>
      <w:pPr>
        <w:ind w:left="480"/>
        <w:jc w:val="left"/>
      </w:pPr>
      <w:r>
        <w:rPr>
          <w:rFonts w:ascii="等线" w:hAnsi="等线"/>
          <w:b w:val="0"/>
          <w:sz w:val="21"/>
        </w:rPr>
        <w:t>◦ 加强环境管理：建立健全环境管理体系，加强对生产过程的监控和管理，确保污染物达标排放。</w:t>
      </w:r>
    </w:p>
    <w:p>
      <w:pPr>
        <w:jc w:val="left"/>
      </w:pPr>
      <w:r>
        <w:rPr>
          <w:rFonts w:ascii="等线" w:hAnsi="等线"/>
          <w:b w:val="0"/>
          <w:sz w:val="21"/>
        </w:rPr>
        <w:t>四、污染物排放对员工、当地社区居民等群体的影响</w:t>
      </w:r>
    </w:p>
    <w:p>
      <w:pPr>
        <w:jc w:val="left"/>
      </w:pPr>
      <w:r>
        <w:rPr>
          <w:rFonts w:ascii="等线" w:hAnsi="等线"/>
          <w:b w:val="0"/>
          <w:sz w:val="21"/>
        </w:rPr>
        <w:t>本公司高度重视污染物排放对员工、当地社区居民等群体的影响。我们采取了以下措施，确保污染物排放不会对周边环境和人群造成不利影响：</w:t>
      </w:r>
    </w:p>
    <w:p>
      <w:pPr>
        <w:jc w:val="left"/>
      </w:pPr>
      <w:r>
        <w:rPr>
          <w:rFonts w:ascii="等线" w:hAnsi="等线"/>
          <w:b w:val="0"/>
          <w:sz w:val="21"/>
        </w:rPr>
        <w:t>1. 环境监测：我们建立了完善的环境监测体系，定期对周边环境进行监测，及时掌握环境质量状况。</w:t>
      </w:r>
    </w:p>
    <w:p>
      <w:pPr>
        <w:jc w:val="left"/>
      </w:pPr>
      <w:r>
        <w:rPr>
          <w:rFonts w:ascii="等线" w:hAnsi="等线"/>
          <w:b w:val="0"/>
          <w:sz w:val="21"/>
        </w:rPr>
        <w:t>2. 信息公开：我们定期向社会公开环境信息，包括污染物排放情况、环境监测数据等，接受社会监督。</w:t>
      </w:r>
    </w:p>
    <w:p>
      <w:pPr>
        <w:jc w:val="left"/>
      </w:pPr>
      <w:r>
        <w:rPr>
          <w:rFonts w:ascii="等线" w:hAnsi="等线"/>
          <w:b w:val="0"/>
          <w:sz w:val="21"/>
        </w:rPr>
        <w:t>3. 应急管理：我们制定了完善的环境应急预案，加强了对突发环境事件的应急处置能力，确保在突发情况下能够迅速采取有效措施，减少对环境和人群的影响。</w:t>
      </w:r>
    </w:p>
    <w:p>
      <w:pPr>
        <w:jc w:val="left"/>
      </w:pPr>
      <w:r>
        <w:rPr>
          <w:rFonts w:ascii="等线" w:hAnsi="等线"/>
          <w:b w:val="0"/>
          <w:sz w:val="21"/>
        </w:rPr>
        <w:t>五、报告期内因污染物排放受到重大行政处罚或被追究刑事责任的情况，以及公司环境监测方案和风险管理措施是否存在重大缺陷</w:t>
      </w:r>
    </w:p>
    <w:p>
      <w:pPr>
        <w:jc w:val="left"/>
      </w:pPr>
      <w:r>
        <w:rPr>
          <w:rFonts w:ascii="等线" w:hAnsi="等线"/>
          <w:b w:val="0"/>
          <w:sz w:val="21"/>
        </w:rPr>
        <w:t>本公司在报告期内未因污染物排放受到重大行政处罚或被追究刑事责任。我们建立了完善的环境监测方案和风险管理措施，定期对环境监测数据进行分析和评估，及时发现和解决环境问题。同时，我们加强了对环境风险的识别和评估，制定了相应的风险防范措施，确保环境安全。</w:t>
      </w:r>
    </w:p>
    <w:p>
      <w:pPr>
        <w:jc w:val="left"/>
      </w:pPr>
      <w:r>
        <w:rPr>
          <w:rFonts w:ascii="等线" w:hAnsi="等线"/>
          <w:b w:val="0"/>
          <w:sz w:val="21"/>
        </w:rPr>
        <w:t>综上所述，本公司在污染物排放方面采取了一系列有效的措施，取得了一定的成效。我们将继续加强环境保护工作，不断提高环境管理水平，为实现可持续发展做出更大的贡献。</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rPr>
                <w:sz w:val="21"/>
              </w:rPr>
              <w:t>绩效指标</w:t>
            </w:r>
          </w:p>
        </w:tc>
        <w:tc>
          <w:tcPr>
            <w:tcW w:type="dxa" w:w="1928"/>
            <w:shd w:fill="f5f2f0"/>
          </w:tcPr>
          <w:p>
            <w:r>
              <w:rPr>
                <w:sz w:val="21"/>
              </w:rPr>
              <w:t>单位</w:t>
            </w:r>
          </w:p>
        </w:tc>
        <w:tc>
          <w:tcPr>
            <w:tcW w:type="dxa" w:w="1928"/>
            <w:shd w:fill="f5f2f0"/>
          </w:tcPr>
          <w:p>
            <w:r>
              <w:rPr>
                <w:sz w:val="21"/>
              </w:rPr>
              <w:t>2021</w:t>
            </w:r>
          </w:p>
        </w:tc>
        <w:tc>
          <w:tcPr>
            <w:tcW w:type="dxa" w:w="1928"/>
            <w:shd w:fill="f5f2f0"/>
          </w:tcPr>
          <w:p>
            <w:r>
              <w:rPr>
                <w:sz w:val="21"/>
              </w:rPr>
              <w:t>2022</w:t>
            </w:r>
          </w:p>
        </w:tc>
        <w:tc>
          <w:tcPr>
            <w:tcW w:type="dxa" w:w="1928"/>
            <w:shd w:fill="f5f2f0"/>
          </w:tcPr>
          <w:p>
            <w:r>
              <w:rPr>
                <w:sz w:val="21"/>
              </w:rPr>
              <w:t>2023</w:t>
            </w:r>
          </w:p>
        </w:tc>
      </w:tr>
      <w:tr>
        <w:tc>
          <w:tcPr>
            <w:tcW w:type="dxa" w:w="1928"/>
          </w:tcPr>
          <w:p>
            <w:r>
              <w:rPr>
                <w:sz w:val="21"/>
              </w:rPr>
              <w:t>废水排放：氨氮</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废水排放：总氮</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废水排放：化学需氧量（COD）</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废水排放：生化需氧量（BOD）</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废水排放：总磷</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废气排放：颗粒物(PM)</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废气排放：二氧化硫(SO2)</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废气排放：氮氧化物(NOx)</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废气排放：一氧化碳（CO)</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废气排放：VOCs</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废水排放量</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bl>
    <w:p>
      <w:pPr>
        <w:pStyle w:val="Heading2"/>
      </w:pPr>
      <w:r>
        <w:rPr>
          <w:rFonts w:ascii="等线" w:hAnsi="等线" w:eastAsia="等线"/>
          <w:color w:val="000000"/>
          <w:sz w:val="32"/>
        </w:rPr>
        <w:t>废弃物处理</w:t>
      </w:r>
    </w:p>
    <w:p>
      <w:pPr>
        <w:jc w:val="left"/>
      </w:pPr>
      <w:r>
        <w:rPr>
          <w:rFonts w:ascii="等线" w:hAnsi="等线"/>
          <w:b w:val="0"/>
          <w:sz w:val="21"/>
        </w:rPr>
        <w:t>废弃物处理</w:t>
      </w:r>
    </w:p>
    <w:p>
      <w:pPr>
        <w:jc w:val="left"/>
      </w:pPr>
      <w:r>
        <w:rPr>
          <w:rFonts w:ascii="等线" w:hAnsi="等线"/>
          <w:b w:val="0"/>
          <w:sz w:val="21"/>
        </w:rPr>
        <w:t>1. 废弃物产生情况</w:t>
      </w:r>
    </w:p>
    <w:p>
      <w:pPr>
        <w:ind w:left="480"/>
        <w:jc w:val="left"/>
      </w:pPr>
      <w:r>
        <w:rPr>
          <w:rFonts w:ascii="等线" w:hAnsi="等线"/>
          <w:b w:val="0"/>
          <w:sz w:val="21"/>
        </w:rPr>
        <w:t>◦ 有害废弃物：报告期内，本企业共产生有害废弃物 XX 吨，主要来源于生产过程中的废料、废水处理后的污泥等。有害废弃物的产生密度为 XX 吨/单位营收。</w:t>
      </w:r>
    </w:p>
    <w:p>
      <w:pPr>
        <w:ind w:left="480"/>
        <w:jc w:val="left"/>
      </w:pPr>
      <w:r>
        <w:rPr>
          <w:rFonts w:ascii="等线" w:hAnsi="等线"/>
          <w:b w:val="0"/>
          <w:sz w:val="21"/>
        </w:rPr>
        <w:t>◦ 无害废弃物：本企业产生的无害废弃物主要包括废纸、废塑料、废金属等，总量为 XX 吨，产生密度为 XX 吨/单位产量。</w:t>
      </w:r>
    </w:p>
    <w:p>
      <w:pPr>
        <w:jc w:val="left"/>
      </w:pPr>
      <w:r>
        <w:rPr>
          <w:rFonts w:ascii="等线" w:hAnsi="等线"/>
          <w:b w:val="0"/>
          <w:sz w:val="21"/>
        </w:rPr>
        <w:t>2. 废弃物处理方法</w:t>
      </w:r>
    </w:p>
    <w:p>
      <w:pPr>
        <w:ind w:left="480"/>
        <w:jc w:val="left"/>
      </w:pPr>
      <w:r>
        <w:rPr>
          <w:rFonts w:ascii="等线" w:hAnsi="等线"/>
          <w:b w:val="0"/>
          <w:sz w:val="21"/>
        </w:rPr>
        <w:t>◦ 有害废弃物：本企业严格遵守国家相关法律法规，对有害废弃物进行分类、收集、储存和运输，并委托有资质的专业机构进行处理。处理方法包括焚烧、填埋、化学处理等。</w:t>
      </w:r>
    </w:p>
    <w:p>
      <w:pPr>
        <w:ind w:left="480"/>
        <w:jc w:val="left"/>
      </w:pPr>
      <w:r>
        <w:rPr>
          <w:rFonts w:ascii="等线" w:hAnsi="等线"/>
          <w:b w:val="0"/>
          <w:sz w:val="21"/>
        </w:rPr>
        <w:t>◦ 无害废弃物：本企业积极推行废弃物资源化利用，对废纸、废塑料、废金属等进行回收和再利用。同时，对无法回收利用的无害废弃物进行安全填埋或焚烧处理。</w:t>
      </w:r>
    </w:p>
    <w:p>
      <w:pPr>
        <w:jc w:val="left"/>
      </w:pPr>
      <w:r>
        <w:rPr>
          <w:rFonts w:ascii="等线" w:hAnsi="等线"/>
          <w:b w:val="0"/>
          <w:sz w:val="21"/>
        </w:rPr>
        <w:t>3. 废弃物处置情况</w:t>
      </w:r>
    </w:p>
    <w:p>
      <w:pPr>
        <w:ind w:left="480"/>
        <w:jc w:val="left"/>
      </w:pPr>
      <w:r>
        <w:rPr>
          <w:rFonts w:ascii="等线" w:hAnsi="等线"/>
          <w:b w:val="0"/>
          <w:sz w:val="21"/>
        </w:rPr>
        <w:t>◦ 有害废弃物：报告期内，本企业共处置有害废弃物 XX 吨，处置率达到 100%。所有有害废弃物的处置均符合国家相关标准和规定，未对环境造成污染。</w:t>
      </w:r>
    </w:p>
    <w:p>
      <w:pPr>
        <w:ind w:left="480"/>
        <w:jc w:val="left"/>
      </w:pPr>
      <w:r>
        <w:rPr>
          <w:rFonts w:ascii="等线" w:hAnsi="等线"/>
          <w:b w:val="0"/>
          <w:sz w:val="21"/>
        </w:rPr>
        <w:t>◦ 无害废弃物：本企业共处置无害废弃物 XX 吨，其中回收利用 XX 吨，安全填埋或焚烧处理 XX 吨。无害废弃物的处置率达到 100%。</w:t>
      </w:r>
    </w:p>
    <w:p>
      <w:pPr>
        <w:jc w:val="left"/>
      </w:pPr>
      <w:r>
        <w:rPr>
          <w:rFonts w:ascii="等线" w:hAnsi="等线"/>
          <w:b w:val="0"/>
          <w:sz w:val="21"/>
        </w:rPr>
        <w:t>4. 废弃物减排目标及措施</w:t>
      </w:r>
    </w:p>
    <w:p>
      <w:pPr>
        <w:ind w:left="480"/>
        <w:jc w:val="left"/>
      </w:pPr>
      <w:r>
        <w:rPr>
          <w:rFonts w:ascii="等线" w:hAnsi="等线"/>
          <w:b w:val="0"/>
          <w:sz w:val="21"/>
        </w:rPr>
        <w:t>◦ 减排目标：本企业制定了废弃物减排目标，计划在未来三年内将有害废弃物的产生量减少 XX%，无害废弃物的产生量减少 XX%。</w:t>
      </w:r>
    </w:p>
    <w:p>
      <w:pPr>
        <w:ind w:left="480"/>
        <w:jc w:val="left"/>
      </w:pPr>
      <w:r>
        <w:rPr>
          <w:rFonts w:ascii="等线" w:hAnsi="等线"/>
          <w:b w:val="0"/>
          <w:sz w:val="21"/>
        </w:rPr>
        <w:t>◦ 具体措施：为实现废弃物减排目标，本企业采取了以下措施：</w:t>
      </w:r>
    </w:p>
    <w:p>
      <w:pPr>
        <w:ind w:left="480"/>
        <w:jc w:val="left"/>
      </w:pPr>
      <w:r>
        <w:rPr>
          <w:rFonts w:ascii="等线" w:hAnsi="等线"/>
          <w:b w:val="0"/>
          <w:sz w:val="21"/>
        </w:rPr>
        <w:t>◦ 优化生产工艺，减少废弃物的产生；</w:t>
      </w:r>
    </w:p>
    <w:p>
      <w:pPr>
        <w:ind w:left="480"/>
        <w:jc w:val="left"/>
      </w:pPr>
      <w:r>
        <w:rPr>
          <w:rFonts w:ascii="等线" w:hAnsi="等线"/>
          <w:b w:val="0"/>
          <w:sz w:val="21"/>
        </w:rPr>
        <w:t>◦ 加强废弃物管理，提高废弃物的回收利用率；</w:t>
      </w:r>
    </w:p>
    <w:p>
      <w:pPr>
        <w:ind w:left="480"/>
        <w:jc w:val="left"/>
      </w:pPr>
      <w:r>
        <w:rPr>
          <w:rFonts w:ascii="等线" w:hAnsi="等线"/>
          <w:b w:val="0"/>
          <w:sz w:val="21"/>
        </w:rPr>
        <w:t>◦ 推广绿色包装，减少包装废弃物的产生；</w:t>
      </w:r>
    </w:p>
    <w:p>
      <w:pPr>
        <w:ind w:left="480"/>
        <w:jc w:val="left"/>
      </w:pPr>
      <w:r>
        <w:rPr>
          <w:rFonts w:ascii="等线" w:hAnsi="等线"/>
          <w:b w:val="0"/>
          <w:sz w:val="21"/>
        </w:rPr>
        <w:t>◦ 加强员工培训，提高员工的环保意识。</w:t>
      </w:r>
    </w:p>
    <w:p>
      <w:pPr>
        <w:jc w:val="left"/>
      </w:pPr>
      <w:r>
        <w:rPr>
          <w:rFonts w:ascii="等线" w:hAnsi="等线"/>
          <w:b w:val="0"/>
          <w:sz w:val="21"/>
        </w:rPr>
        <w:t>5. 结论本企业高度重视废弃物处理工作，通过采取有效的处理方法和措施，确保了废弃物的安全处置和资源化利用。同时，本企业制定了废弃物减排目标，并采取了一系列措施来实现这些目标。未来，本企业将继续加强废弃物管理，不断提高废弃物处理水平，为保护环境做出更大的贡献。</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rPr>
                <w:sz w:val="21"/>
              </w:rPr>
              <w:t>绩效指标</w:t>
            </w:r>
          </w:p>
        </w:tc>
        <w:tc>
          <w:tcPr>
            <w:tcW w:type="dxa" w:w="1928"/>
            <w:shd w:fill="f5f2f0"/>
          </w:tcPr>
          <w:p>
            <w:r>
              <w:rPr>
                <w:sz w:val="21"/>
              </w:rPr>
              <w:t>单位</w:t>
            </w:r>
          </w:p>
        </w:tc>
        <w:tc>
          <w:tcPr>
            <w:tcW w:type="dxa" w:w="1928"/>
            <w:shd w:fill="f5f2f0"/>
          </w:tcPr>
          <w:p>
            <w:r>
              <w:rPr>
                <w:sz w:val="21"/>
              </w:rPr>
              <w:t>2021</w:t>
            </w:r>
          </w:p>
        </w:tc>
        <w:tc>
          <w:tcPr>
            <w:tcW w:type="dxa" w:w="1928"/>
            <w:shd w:fill="f5f2f0"/>
          </w:tcPr>
          <w:p>
            <w:r>
              <w:rPr>
                <w:sz w:val="21"/>
              </w:rPr>
              <w:t>2022</w:t>
            </w:r>
          </w:p>
        </w:tc>
        <w:tc>
          <w:tcPr>
            <w:tcW w:type="dxa" w:w="1928"/>
            <w:shd w:fill="f5f2f0"/>
          </w:tcPr>
          <w:p>
            <w:r>
              <w:rPr>
                <w:sz w:val="21"/>
              </w:rPr>
              <w:t>2023</w:t>
            </w:r>
          </w:p>
        </w:tc>
      </w:tr>
      <w:tr>
        <w:tc>
          <w:tcPr>
            <w:tcW w:type="dxa" w:w="1928"/>
          </w:tcPr>
          <w:p>
            <w:r>
              <w:rPr>
                <w:sz w:val="21"/>
              </w:rPr>
              <w:t>危险废物处理量</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一般固废回收量</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单位营收危险废物产生量</w:t>
            </w:r>
          </w:p>
        </w:tc>
        <w:tc>
          <w:tcPr>
            <w:tcW w:type="dxa" w:w="1928"/>
          </w:tcPr>
          <w:p>
            <w:r>
              <w:rPr>
                <w:sz w:val="21"/>
              </w:rPr>
              <w:t>吨/万元</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单位营收一般固废产生量</w:t>
            </w:r>
          </w:p>
        </w:tc>
        <w:tc>
          <w:tcPr>
            <w:tcW w:type="dxa" w:w="1928"/>
          </w:tcPr>
          <w:p>
            <w:r>
              <w:rPr>
                <w:sz w:val="21"/>
              </w:rPr>
              <w:t>吨/万元</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一般固废产生量</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危险废物产生量</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bl>
    <w:p>
      <w:pPr>
        <w:pStyle w:val="Heading2"/>
      </w:pPr>
      <w:r>
        <w:rPr>
          <w:rFonts w:ascii="等线" w:hAnsi="等线" w:eastAsia="等线"/>
          <w:color w:val="000000"/>
          <w:sz w:val="32"/>
        </w:rPr>
        <w:t>生态系统和生物多样性</w:t>
      </w:r>
    </w:p>
    <w:p>
      <w:pPr>
        <w:jc w:val="left"/>
      </w:pPr>
      <w:r>
        <w:rPr>
          <w:rFonts w:ascii="等线" w:hAnsi="等线"/>
          <w:b w:val="0"/>
          <w:sz w:val="21"/>
        </w:rPr>
        <w:t>以下是根据你提供的披露要求生成的环境-生态系统和生物多样性的内容模板：</w:t>
      </w:r>
    </w:p>
    <w:p>
      <w:pPr>
        <w:jc w:val="left"/>
      </w:pPr>
      <w:r>
        <w:rPr>
          <w:rFonts w:ascii="等线" w:hAnsi="等线"/>
          <w:b w:val="0"/>
          <w:sz w:val="21"/>
        </w:rPr>
        <w:t>一、生态保护红线范围内的活动</w:t>
      </w:r>
    </w:p>
    <w:p>
      <w:pPr>
        <w:jc w:val="left"/>
      </w:pPr>
      <w:r>
        <w:rPr>
          <w:rFonts w:ascii="等线" w:hAnsi="等线"/>
          <w:b w:val="0"/>
          <w:sz w:val="21"/>
        </w:rPr>
        <w:t>报告期内，本企业在生态保护红线范围内没有生产经营活动。我们严格遵守相关法律法规，确保企业的发展与生态保护红线的要求相符合。</w:t>
      </w:r>
    </w:p>
    <w:p>
      <w:pPr>
        <w:jc w:val="left"/>
      </w:pPr>
      <w:r>
        <w:rPr>
          <w:rFonts w:ascii="等线" w:hAnsi="等线"/>
          <w:b w:val="0"/>
          <w:sz w:val="21"/>
        </w:rPr>
        <w:t>二、生态功能区和自然保护地的保护与恢复</w:t>
      </w:r>
    </w:p>
    <w:p>
      <w:pPr>
        <w:jc w:val="left"/>
      </w:pPr>
      <w:r>
        <w:rPr>
          <w:rFonts w:ascii="等线" w:hAnsi="等线"/>
          <w:b w:val="0"/>
          <w:sz w:val="21"/>
        </w:rPr>
        <w:t>1. 措施：</w:t>
      </w:r>
    </w:p>
    <w:p>
      <w:pPr>
        <w:ind w:left="480"/>
        <w:jc w:val="left"/>
      </w:pPr>
      <w:r>
        <w:rPr>
          <w:rFonts w:ascii="等线" w:hAnsi="等线"/>
          <w:b w:val="0"/>
          <w:sz w:val="21"/>
        </w:rPr>
        <w:t>◦ 建立了环境管理体系，制定了严格的环境保护政策和措施，确保生产经营活动对周边生态环境的影响最小化。</w:t>
      </w:r>
    </w:p>
    <w:p>
      <w:pPr>
        <w:ind w:left="480"/>
        <w:jc w:val="left"/>
      </w:pPr>
      <w:r>
        <w:rPr>
          <w:rFonts w:ascii="等线" w:hAnsi="等线"/>
          <w:b w:val="0"/>
          <w:sz w:val="21"/>
        </w:rPr>
        <w:t>◦ 实施了节能减排措施，提高能源利用效率，减少温室气体排放。</w:t>
      </w:r>
    </w:p>
    <w:p>
      <w:pPr>
        <w:ind w:left="480"/>
        <w:jc w:val="left"/>
      </w:pPr>
      <w:r>
        <w:rPr>
          <w:rFonts w:ascii="等线" w:hAnsi="等线"/>
          <w:b w:val="0"/>
          <w:sz w:val="21"/>
        </w:rPr>
        <w:t>◦ 加强了水资源管理，推广节水技术，提高水资源利用效率。</w:t>
      </w:r>
    </w:p>
    <w:p>
      <w:pPr>
        <w:ind w:left="480"/>
        <w:jc w:val="left"/>
      </w:pPr>
      <w:r>
        <w:rPr>
          <w:rFonts w:ascii="等线" w:hAnsi="等线"/>
          <w:b w:val="0"/>
          <w:sz w:val="21"/>
        </w:rPr>
        <w:t>◦ 开展了植树造林活动，增加了植被覆盖面积，改善了生态环境。</w:t>
      </w:r>
    </w:p>
    <w:p>
      <w:pPr>
        <w:jc w:val="left"/>
      </w:pPr>
      <w:r>
        <w:rPr>
          <w:rFonts w:ascii="等线" w:hAnsi="等线"/>
          <w:b w:val="0"/>
          <w:sz w:val="21"/>
        </w:rPr>
        <w:t>2. 效果：</w:t>
      </w:r>
    </w:p>
    <w:p>
      <w:pPr>
        <w:ind w:left="480"/>
        <w:jc w:val="left"/>
      </w:pPr>
      <w:r>
        <w:rPr>
          <w:rFonts w:ascii="等线" w:hAnsi="等线"/>
          <w:b w:val="0"/>
          <w:sz w:val="21"/>
        </w:rPr>
        <w:t>◦ 通过节能减排措施，单位产品的能耗和温室气体排放量显著降低。</w:t>
      </w:r>
    </w:p>
    <w:p>
      <w:pPr>
        <w:ind w:left="480"/>
        <w:jc w:val="left"/>
      </w:pPr>
      <w:r>
        <w:rPr>
          <w:rFonts w:ascii="等线" w:hAnsi="等线"/>
          <w:b w:val="0"/>
          <w:sz w:val="21"/>
        </w:rPr>
        <w:t>◦ 水资源利用效率提高了</w:t>
      </w:r>
      <w:r>
        <w:rPr>
          <w:rFonts w:ascii="等线" w:hAnsi="等线"/>
          <w:b w:val="0"/>
          <w:sz w:val="21"/>
          <w:highlight w:val="yellow"/>
        </w:rPr>
        <w:t>[X]</w:t>
      </w:r>
      <w:r>
        <w:rPr>
          <w:rFonts w:ascii="等线" w:hAnsi="等线"/>
          <w:b w:val="0"/>
          <w:sz w:val="21"/>
        </w:rPr>
        <w:t>%，减少了对水资源的需求。</w:t>
      </w:r>
    </w:p>
    <w:p>
      <w:pPr>
        <w:ind w:left="480"/>
        <w:jc w:val="left"/>
      </w:pPr>
      <w:r>
        <w:rPr>
          <w:rFonts w:ascii="等线" w:hAnsi="等线"/>
          <w:b w:val="0"/>
          <w:sz w:val="21"/>
        </w:rPr>
        <w:t>◦ 植树造林活动增加了</w:t>
      </w:r>
      <w:r>
        <w:rPr>
          <w:rFonts w:ascii="等线" w:hAnsi="等线"/>
          <w:b w:val="0"/>
          <w:sz w:val="21"/>
          <w:highlight w:val="yellow"/>
        </w:rPr>
        <w:t>[X]</w:t>
      </w:r>
      <w:r>
        <w:rPr>
          <w:rFonts w:ascii="等线" w:hAnsi="等线"/>
          <w:b w:val="0"/>
          <w:sz w:val="21"/>
        </w:rPr>
        <w:t>公顷的植被覆盖面积，提高了生态系统的稳定性。</w:t>
      </w:r>
    </w:p>
    <w:p>
      <w:pPr>
        <w:jc w:val="left"/>
      </w:pPr>
      <w:r>
        <w:rPr>
          <w:rFonts w:ascii="等线" w:hAnsi="等线"/>
          <w:b w:val="0"/>
          <w:sz w:val="21"/>
        </w:rPr>
        <w:t>三、野生动植物保护</w:t>
      </w:r>
    </w:p>
    <w:p>
      <w:pPr>
        <w:jc w:val="left"/>
      </w:pPr>
      <w:r>
        <w:rPr>
          <w:rFonts w:ascii="等线" w:hAnsi="等线"/>
          <w:b w:val="0"/>
          <w:sz w:val="21"/>
        </w:rPr>
        <w:t>1. 措施：</w:t>
      </w:r>
    </w:p>
    <w:p>
      <w:pPr>
        <w:ind w:left="480"/>
        <w:jc w:val="left"/>
      </w:pPr>
      <w:r>
        <w:rPr>
          <w:rFonts w:ascii="等线" w:hAnsi="等线"/>
          <w:b w:val="0"/>
          <w:sz w:val="21"/>
        </w:rPr>
        <w:t>◦ 加强了对员工的野生动植物保护教育，提高了员工的保护意识。</w:t>
      </w:r>
    </w:p>
    <w:p>
      <w:pPr>
        <w:ind w:left="480"/>
        <w:jc w:val="left"/>
      </w:pPr>
      <w:r>
        <w:rPr>
          <w:rFonts w:ascii="等线" w:hAnsi="等线"/>
          <w:b w:val="0"/>
          <w:sz w:val="21"/>
        </w:rPr>
        <w:t>◦ 在生产经营场所周边设置了警示标识，提醒员工和周边居民注意保护野生动植物。</w:t>
      </w:r>
    </w:p>
    <w:p>
      <w:pPr>
        <w:ind w:left="480"/>
        <w:jc w:val="left"/>
      </w:pPr>
      <w:r>
        <w:rPr>
          <w:rFonts w:ascii="等线" w:hAnsi="等线"/>
          <w:b w:val="0"/>
          <w:sz w:val="21"/>
        </w:rPr>
        <w:t>◦ 与当地的野生动植物保护机构合作，共同开展野生动植物保护活动。</w:t>
      </w:r>
    </w:p>
    <w:p>
      <w:pPr>
        <w:jc w:val="left"/>
      </w:pPr>
      <w:r>
        <w:rPr>
          <w:rFonts w:ascii="等线" w:hAnsi="等线"/>
          <w:b w:val="0"/>
          <w:sz w:val="21"/>
        </w:rPr>
        <w:t>2. 效果：</w:t>
      </w:r>
    </w:p>
    <w:p>
      <w:pPr>
        <w:ind w:left="480"/>
        <w:jc w:val="left"/>
      </w:pPr>
      <w:r>
        <w:rPr>
          <w:rFonts w:ascii="等线" w:hAnsi="等线"/>
          <w:b w:val="0"/>
          <w:sz w:val="21"/>
        </w:rPr>
        <w:t>◦ 员工的野生动植物保护意识得到了显著提高，没有发生过破坏野生动植物的行为。</w:t>
      </w:r>
    </w:p>
    <w:p>
      <w:pPr>
        <w:ind w:left="480"/>
        <w:jc w:val="left"/>
      </w:pPr>
      <w:r>
        <w:rPr>
          <w:rFonts w:ascii="等线" w:hAnsi="等线"/>
          <w:b w:val="0"/>
          <w:sz w:val="21"/>
        </w:rPr>
        <w:t>◦ 生产经营场所周边的野生动植物数量和种类保持稳定，没有出现明显的减少或灭绝现象。</w:t>
      </w:r>
    </w:p>
    <w:p>
      <w:pPr>
        <w:jc w:val="left"/>
      </w:pPr>
      <w:r>
        <w:rPr>
          <w:rFonts w:ascii="等线" w:hAnsi="等线"/>
          <w:b w:val="0"/>
          <w:sz w:val="21"/>
        </w:rPr>
        <w:t>四、生物遗传资源的保护与利用</w:t>
      </w:r>
    </w:p>
    <w:p>
      <w:pPr>
        <w:jc w:val="left"/>
      </w:pPr>
      <w:r>
        <w:rPr>
          <w:rFonts w:ascii="等线" w:hAnsi="等线"/>
          <w:b w:val="0"/>
          <w:sz w:val="21"/>
        </w:rPr>
        <w:t>1. 措施：</w:t>
      </w:r>
    </w:p>
    <w:p>
      <w:pPr>
        <w:ind w:left="480"/>
        <w:jc w:val="left"/>
      </w:pPr>
      <w:r>
        <w:rPr>
          <w:rFonts w:ascii="等线" w:hAnsi="等线"/>
          <w:b w:val="0"/>
          <w:sz w:val="21"/>
        </w:rPr>
        <w:t>◦ 建立了生物遗传资源管理制度，对企业拥有的生物遗传资源进行了登记和管理。</w:t>
      </w:r>
    </w:p>
    <w:p>
      <w:pPr>
        <w:ind w:left="480"/>
        <w:jc w:val="left"/>
      </w:pPr>
      <w:r>
        <w:rPr>
          <w:rFonts w:ascii="等线" w:hAnsi="等线"/>
          <w:b w:val="0"/>
          <w:sz w:val="21"/>
        </w:rPr>
        <w:t>◦ 加强了对生物遗传资源的保护，采取了措施防止生物遗传资源的流失和破坏。</w:t>
      </w:r>
    </w:p>
    <w:p>
      <w:pPr>
        <w:ind w:left="480"/>
        <w:jc w:val="left"/>
      </w:pPr>
      <w:r>
        <w:rPr>
          <w:rFonts w:ascii="等线" w:hAnsi="等线"/>
          <w:b w:val="0"/>
          <w:sz w:val="21"/>
        </w:rPr>
        <w:t>◦ 开展了生物遗传资源的可持续利用研究，探索了生物遗传资源在新产品开发中的应用。</w:t>
      </w:r>
    </w:p>
    <w:p>
      <w:pPr>
        <w:jc w:val="left"/>
      </w:pPr>
      <w:r>
        <w:rPr>
          <w:rFonts w:ascii="等线" w:hAnsi="等线"/>
          <w:b w:val="0"/>
          <w:sz w:val="21"/>
        </w:rPr>
        <w:t>2. 效果：</w:t>
      </w:r>
    </w:p>
    <w:p>
      <w:pPr>
        <w:ind w:left="480"/>
        <w:jc w:val="left"/>
      </w:pPr>
      <w:r>
        <w:rPr>
          <w:rFonts w:ascii="等线" w:hAnsi="等线"/>
          <w:b w:val="0"/>
          <w:sz w:val="21"/>
        </w:rPr>
        <w:t>◦ 企业拥有的生物遗传资源得到了有效的保护和管理，没有发生过生物遗传资源的流失和破坏事件。</w:t>
      </w:r>
    </w:p>
    <w:p>
      <w:pPr>
        <w:ind w:left="480"/>
        <w:jc w:val="left"/>
      </w:pPr>
      <w:r>
        <w:rPr>
          <w:rFonts w:ascii="等线" w:hAnsi="等线"/>
          <w:b w:val="0"/>
          <w:sz w:val="21"/>
        </w:rPr>
        <w:t>◦ 通过生物遗传资源的可持续利用研究，开发了</w:t>
      </w:r>
      <w:r>
        <w:rPr>
          <w:rFonts w:ascii="等线" w:hAnsi="等线"/>
          <w:b w:val="0"/>
          <w:sz w:val="21"/>
          <w:highlight w:val="yellow"/>
        </w:rPr>
        <w:t>[X]</w:t>
      </w:r>
      <w:r>
        <w:rPr>
          <w:rFonts w:ascii="等线" w:hAnsi="等线"/>
          <w:b w:val="0"/>
          <w:sz w:val="21"/>
        </w:rPr>
        <w:t>种新产品，提高了企业的市场竞争力。</w:t>
      </w:r>
    </w:p>
    <w:p>
      <w:pPr>
        <w:jc w:val="left"/>
      </w:pPr>
      <w:r>
        <w:rPr>
          <w:rFonts w:ascii="等线" w:hAnsi="等线"/>
          <w:b w:val="0"/>
          <w:sz w:val="21"/>
        </w:rPr>
        <w:t>五、降低产品全生命周期对生态系统的影响</w:t>
      </w:r>
    </w:p>
    <w:p>
      <w:pPr>
        <w:jc w:val="left"/>
      </w:pPr>
      <w:r>
        <w:rPr>
          <w:rFonts w:ascii="等线" w:hAnsi="等线"/>
          <w:b w:val="0"/>
          <w:sz w:val="21"/>
        </w:rPr>
        <w:t>1. 措施：</w:t>
      </w:r>
    </w:p>
    <w:p>
      <w:pPr>
        <w:ind w:left="480"/>
        <w:jc w:val="left"/>
      </w:pPr>
      <w:r>
        <w:rPr>
          <w:rFonts w:ascii="等线" w:hAnsi="等线"/>
          <w:b w:val="0"/>
          <w:sz w:val="21"/>
        </w:rPr>
        <w:t>◦ 采用了环保材料和工艺，减少了产品生产过程中的污染物排放。</w:t>
      </w:r>
    </w:p>
    <w:p>
      <w:pPr>
        <w:ind w:left="480"/>
        <w:jc w:val="left"/>
      </w:pPr>
      <w:r>
        <w:rPr>
          <w:rFonts w:ascii="等线" w:hAnsi="等线"/>
          <w:b w:val="0"/>
          <w:sz w:val="21"/>
        </w:rPr>
        <w:t>◦ 优化了产品设计，提高了产品的可回收性和可再利用性。</w:t>
      </w:r>
    </w:p>
    <w:p>
      <w:pPr>
        <w:ind w:left="480"/>
        <w:jc w:val="left"/>
      </w:pPr>
      <w:r>
        <w:rPr>
          <w:rFonts w:ascii="等线" w:hAnsi="等线"/>
          <w:b w:val="0"/>
          <w:sz w:val="21"/>
        </w:rPr>
        <w:t>◦ 建立了产品回收和再利用体系，对废旧产品进行回收和再利用。</w:t>
      </w:r>
    </w:p>
    <w:p>
      <w:pPr>
        <w:jc w:val="left"/>
      </w:pPr>
      <w:r>
        <w:rPr>
          <w:rFonts w:ascii="等线" w:hAnsi="等线"/>
          <w:b w:val="0"/>
          <w:sz w:val="21"/>
        </w:rPr>
        <w:t>2. 效果：</w:t>
      </w:r>
    </w:p>
    <w:p>
      <w:pPr>
        <w:ind w:left="480"/>
        <w:jc w:val="left"/>
      </w:pPr>
      <w:r>
        <w:rPr>
          <w:rFonts w:ascii="等线" w:hAnsi="等线"/>
          <w:b w:val="0"/>
          <w:sz w:val="21"/>
        </w:rPr>
        <w:t>◦ 通过采用环保材料和工艺，产品生产过程中的污染物排放量减少了</w:t>
      </w:r>
      <w:r>
        <w:rPr>
          <w:rFonts w:ascii="等线" w:hAnsi="等线"/>
          <w:b w:val="0"/>
          <w:sz w:val="21"/>
          <w:highlight w:val="yellow"/>
        </w:rPr>
        <w:t>[X]</w:t>
      </w:r>
      <w:r>
        <w:rPr>
          <w:rFonts w:ascii="等线" w:hAnsi="等线"/>
          <w:b w:val="0"/>
          <w:sz w:val="21"/>
        </w:rPr>
        <w:t>%。</w:t>
      </w:r>
    </w:p>
    <w:p>
      <w:pPr>
        <w:ind w:left="480"/>
        <w:jc w:val="left"/>
      </w:pPr>
      <w:r>
        <w:rPr>
          <w:rFonts w:ascii="等线" w:hAnsi="等线"/>
          <w:b w:val="0"/>
          <w:sz w:val="21"/>
        </w:rPr>
        <w:t>◦ 产品的可回收性和可再利用性得到了显著提高，废旧产品的回收率达到了</w:t>
      </w:r>
      <w:r>
        <w:rPr>
          <w:rFonts w:ascii="等线" w:hAnsi="等线"/>
          <w:b w:val="0"/>
          <w:sz w:val="21"/>
          <w:highlight w:val="yellow"/>
        </w:rPr>
        <w:t>[X]</w:t>
      </w:r>
      <w:r>
        <w:rPr>
          <w:rFonts w:ascii="等线" w:hAnsi="等线"/>
          <w:b w:val="0"/>
          <w:sz w:val="21"/>
        </w:rPr>
        <w:t>%。</w:t>
      </w:r>
    </w:p>
    <w:p>
      <w:pPr>
        <w:jc w:val="left"/>
      </w:pPr>
      <w:r>
        <w:rPr>
          <w:rFonts w:ascii="等线" w:hAnsi="等线"/>
          <w:b w:val="0"/>
          <w:sz w:val="21"/>
        </w:rPr>
        <w:t>综上所述，本企业在生态系统和生物多样性保护方面采取了一系列措施，并取得了显著的效果。我们将继续加强生态系统和生物多样性保护工作，为实现可持续发展做出更大的贡献。</w:t>
      </w:r>
    </w:p>
    <w:p>
      <w:pPr>
        <w:pStyle w:val="Heading2"/>
      </w:pPr>
      <w:r>
        <w:rPr>
          <w:rFonts w:ascii="等线" w:hAnsi="等线" w:eastAsia="等线"/>
          <w:color w:val="000000"/>
          <w:sz w:val="32"/>
        </w:rPr>
        <w:t>环境合规管理</w:t>
      </w:r>
    </w:p>
    <w:p>
      <w:pPr>
        <w:jc w:val="left"/>
      </w:pPr>
      <w:r>
        <w:rPr>
          <w:rFonts w:ascii="等线" w:hAnsi="等线"/>
          <w:b w:val="0"/>
          <w:sz w:val="21"/>
        </w:rPr>
        <w:t>以下是根据你提供的披露要求生成的环境-环境合规管理的内容模板：</w:t>
      </w:r>
    </w:p>
    <w:p>
      <w:pPr>
        <w:jc w:val="left"/>
      </w:pPr>
      <w:r>
        <w:rPr>
          <w:rFonts w:ascii="等线" w:hAnsi="等线"/>
          <w:b w:val="0"/>
          <w:sz w:val="21"/>
        </w:rPr>
        <w:t>环境合规管理</w:t>
      </w:r>
    </w:p>
    <w:p>
      <w:pPr>
        <w:jc w:val="left"/>
      </w:pPr>
      <w:r>
        <w:rPr>
          <w:rFonts w:ascii="等线" w:hAnsi="等线"/>
          <w:b w:val="0"/>
          <w:sz w:val="21"/>
        </w:rPr>
        <w:t>我们深知，作为一家面向国际市场的大型民营汽车零部件企业，环境合规管理是我们可持续发展的重要基石。在报告期内，我们致力于建立健全的环境管理体系，确保公司的运营活动符合相关法律法规和国际标准。以下是我们在环境合规管理方面的主要措施和成果：</w:t>
      </w:r>
    </w:p>
    <w:p>
      <w:pPr>
        <w:jc w:val="left"/>
      </w:pPr>
      <w:r>
        <w:rPr>
          <w:rFonts w:ascii="等线" w:hAnsi="等线"/>
          <w:b w:val="0"/>
          <w:sz w:val="21"/>
        </w:rPr>
        <w:t>一、环境风险评估与预防</w:t>
      </w:r>
    </w:p>
    <w:p>
      <w:pPr>
        <w:jc w:val="left"/>
      </w:pPr>
      <w:r>
        <w:rPr>
          <w:rFonts w:ascii="等线" w:hAnsi="等线"/>
          <w:b w:val="0"/>
          <w:sz w:val="21"/>
        </w:rPr>
        <w:t>我们定期进行环境风险评估，识别潜在的环境风险，并制定相应的预防措施。通过建立风险预警机制，我们能够及时发现和解决可能出现的环境问题，确保公司的运营活动对环境的影响最小化。</w:t>
      </w:r>
    </w:p>
    <w:p>
      <w:pPr>
        <w:jc w:val="left"/>
      </w:pPr>
      <w:r>
        <w:rPr>
          <w:rFonts w:ascii="等线" w:hAnsi="等线"/>
          <w:b w:val="0"/>
          <w:sz w:val="21"/>
        </w:rPr>
        <w:t>二、应急预案</w:t>
      </w:r>
    </w:p>
    <w:p>
      <w:pPr>
        <w:jc w:val="left"/>
      </w:pPr>
      <w:r>
        <w:rPr>
          <w:rFonts w:ascii="等线" w:hAnsi="等线"/>
          <w:b w:val="0"/>
          <w:sz w:val="21"/>
        </w:rPr>
        <w:t>为了应对突发环境事件，我们制定了完善的应急预案。这些预案包括应急响应流程、人员职责分工、应急物资储备等内容。我们定期组织应急演练，提高员工的应急响应能力，确保在突发环境事件发生时能够迅速、有效地采取措施，减少对环境和社会的影响。</w:t>
      </w:r>
    </w:p>
    <w:p>
      <w:pPr>
        <w:jc w:val="left"/>
      </w:pPr>
      <w:r>
        <w:rPr>
          <w:rFonts w:ascii="等线" w:hAnsi="等线"/>
          <w:b w:val="0"/>
          <w:sz w:val="21"/>
        </w:rPr>
        <w:t>三、突发重大环境事件</w:t>
      </w:r>
    </w:p>
    <w:p>
      <w:pPr>
        <w:jc w:val="left"/>
      </w:pPr>
      <w:r>
        <w:rPr>
          <w:rFonts w:ascii="等线" w:hAnsi="等线"/>
          <w:b w:val="0"/>
          <w:sz w:val="21"/>
        </w:rPr>
        <w:t>在报告期内，我们未发生突发重大环境事件。然而，我们始终保持警惕，不断完善我们的环境管理体系，以预防此类事件的发生。</w:t>
      </w:r>
    </w:p>
    <w:p>
      <w:pPr>
        <w:jc w:val="left"/>
      </w:pPr>
      <w:r>
        <w:rPr>
          <w:rFonts w:ascii="等线" w:hAnsi="等线"/>
          <w:b w:val="0"/>
          <w:sz w:val="21"/>
        </w:rPr>
        <w:t>四、环境行政处罚与刑事责任</w:t>
      </w:r>
    </w:p>
    <w:p>
      <w:pPr>
        <w:jc w:val="left"/>
      </w:pPr>
      <w:r>
        <w:rPr>
          <w:rFonts w:ascii="等线" w:hAnsi="等线"/>
          <w:b w:val="0"/>
          <w:sz w:val="21"/>
        </w:rPr>
        <w:t>报告期内，我们未因环境事件受到生态环境等有关部门的重大行政处罚或被追究刑事责任。我们严格遵守相关法律法规，积极采取措施确保公司的环境合规。</w:t>
      </w:r>
    </w:p>
    <w:p>
      <w:pPr>
        <w:jc w:val="left"/>
      </w:pPr>
      <w:r>
        <w:rPr>
          <w:rFonts w:ascii="等线" w:hAnsi="等线"/>
          <w:b w:val="0"/>
          <w:sz w:val="21"/>
        </w:rPr>
        <w:t>五、持续改进</w:t>
      </w:r>
    </w:p>
    <w:p>
      <w:pPr>
        <w:jc w:val="left"/>
      </w:pPr>
      <w:r>
        <w:rPr>
          <w:rFonts w:ascii="等线" w:hAnsi="等线"/>
          <w:b w:val="0"/>
          <w:sz w:val="21"/>
        </w:rPr>
        <w:t>我们将持续关注环境法规的变化，及时调整我们的环境管理策略和措施，以确保公司始终保持良好的环境合规状态。同时，我们将不断加大在环境保护方面的投入，推动公司的可持续发展。</w:t>
      </w:r>
    </w:p>
    <w:p>
      <w:pPr>
        <w:jc w:val="left"/>
      </w:pPr>
      <w:r>
        <w:rPr>
          <w:rFonts w:ascii="等线" w:hAnsi="等线"/>
          <w:b w:val="0"/>
          <w:sz w:val="21"/>
        </w:rPr>
        <w:t>通过以上措施，我们在环境合规管理方面取得了显著成效。在未来的发展中，我们将继续加强环境合规管理，为公司的可持续发展奠定坚实的基础。</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rPr>
                <w:sz w:val="21"/>
              </w:rPr>
              <w:t>绩效指标</w:t>
            </w:r>
          </w:p>
        </w:tc>
        <w:tc>
          <w:tcPr>
            <w:tcW w:type="dxa" w:w="1928"/>
            <w:shd w:fill="f5f2f0"/>
          </w:tcPr>
          <w:p>
            <w:r>
              <w:rPr>
                <w:sz w:val="21"/>
              </w:rPr>
              <w:t>单位</w:t>
            </w:r>
          </w:p>
        </w:tc>
        <w:tc>
          <w:tcPr>
            <w:tcW w:type="dxa" w:w="1928"/>
            <w:shd w:fill="f5f2f0"/>
          </w:tcPr>
          <w:p>
            <w:r>
              <w:rPr>
                <w:sz w:val="21"/>
              </w:rPr>
              <w:t>2021</w:t>
            </w:r>
          </w:p>
        </w:tc>
        <w:tc>
          <w:tcPr>
            <w:tcW w:type="dxa" w:w="1928"/>
            <w:shd w:fill="f5f2f0"/>
          </w:tcPr>
          <w:p>
            <w:r>
              <w:rPr>
                <w:sz w:val="21"/>
              </w:rPr>
              <w:t>2022</w:t>
            </w:r>
          </w:p>
        </w:tc>
        <w:tc>
          <w:tcPr>
            <w:tcW w:type="dxa" w:w="1928"/>
            <w:shd w:fill="f5f2f0"/>
          </w:tcPr>
          <w:p>
            <w:r>
              <w:rPr>
                <w:sz w:val="21"/>
              </w:rPr>
              <w:t>2023</w:t>
            </w:r>
          </w:p>
        </w:tc>
      </w:tr>
      <w:tr>
        <w:tc>
          <w:tcPr>
            <w:tcW w:type="dxa" w:w="1928"/>
          </w:tcPr>
          <w:p>
            <w:r>
              <w:rPr>
                <w:sz w:val="21"/>
              </w:rPr>
              <w:t>与环境或生态问题相关的罚款金额</w:t>
            </w:r>
          </w:p>
        </w:tc>
        <w:tc>
          <w:tcPr>
            <w:tcW w:type="dxa" w:w="1928"/>
          </w:tcPr>
          <w:p>
            <w:r>
              <w:rPr>
                <w:sz w:val="21"/>
              </w:rPr>
              <w:t>万元</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全年污染事故发生数</w:t>
            </w:r>
          </w:p>
        </w:tc>
        <w:tc>
          <w:tcPr>
            <w:tcW w:type="dxa" w:w="1928"/>
          </w:tcPr>
          <w:p>
            <w:r>
              <w:rPr>
                <w:sz w:val="21"/>
              </w:rPr>
              <w:t>次</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违反环境或生态相关法律法规的次数</w:t>
            </w:r>
          </w:p>
        </w:tc>
        <w:tc>
          <w:tcPr>
            <w:tcW w:type="dxa" w:w="1928"/>
          </w:tcPr>
          <w:p>
            <w:r>
              <w:rPr>
                <w:sz w:val="21"/>
              </w:rPr>
              <w:t>次</w:t>
            </w:r>
          </w:p>
        </w:tc>
        <w:tc>
          <w:tcPr>
            <w:tcW w:type="dxa" w:w="1928"/>
          </w:tcPr>
          <w:p>
            <w:r>
              <w:rPr>
                <w:sz w:val="21"/>
              </w:rPr>
            </w:r>
          </w:p>
        </w:tc>
        <w:tc>
          <w:tcPr>
            <w:tcW w:type="dxa" w:w="1928"/>
          </w:tcPr>
          <w:p>
            <w:r>
              <w:rPr>
                <w:sz w:val="21"/>
              </w:rPr>
            </w:r>
          </w:p>
        </w:tc>
        <w:tc>
          <w:tcPr>
            <w:tcW w:type="dxa" w:w="1928"/>
          </w:tcPr>
          <w:p>
            <w:r>
              <w:rPr>
                <w:sz w:val="21"/>
              </w:rPr>
            </w:r>
          </w:p>
        </w:tc>
      </w:tr>
    </w:tbl>
    <w:p>
      <w:pPr>
        <w:pStyle w:val="Heading2"/>
      </w:pPr>
      <w:r>
        <w:rPr>
          <w:rFonts w:ascii="等线" w:hAnsi="等线" w:eastAsia="等线"/>
          <w:color w:val="000000"/>
          <w:sz w:val="32"/>
        </w:rPr>
        <w:t>能源利用</w:t>
      </w:r>
    </w:p>
    <w:p>
      <w:pPr>
        <w:jc w:val="left"/>
      </w:pPr>
      <w:r>
        <w:rPr>
          <w:rFonts w:ascii="等线" w:hAnsi="等线"/>
          <w:b w:val="0"/>
          <w:sz w:val="21"/>
        </w:rPr>
        <w:t>环境-能源利用</w:t>
      </w:r>
    </w:p>
    <w:p>
      <w:pPr>
        <w:jc w:val="left"/>
      </w:pPr>
      <w:r>
        <w:rPr>
          <w:rFonts w:ascii="等线" w:hAnsi="等线"/>
          <w:b w:val="0"/>
          <w:sz w:val="21"/>
        </w:rPr>
        <w:t>在当今全球关注可持续发展的背景下，能源利用成为企业 ESG 报告中的重要组成部分。本章节将详细披露我们公司在报告期内的能源使用情况，包括基本情况、清洁能源使用情况以及能源节约目标和具体措施。</w:t>
      </w:r>
    </w:p>
    <w:p>
      <w:pPr>
        <w:jc w:val="left"/>
      </w:pPr>
      <w:r>
        <w:rPr>
          <w:rFonts w:ascii="等线" w:hAnsi="等线"/>
          <w:b w:val="0"/>
          <w:sz w:val="21"/>
        </w:rPr>
        <w:t>一、能源使用的基本情况</w:t>
      </w:r>
    </w:p>
    <w:p>
      <w:pPr>
        <w:jc w:val="left"/>
      </w:pPr>
      <w:r>
        <w:rPr>
          <w:rFonts w:ascii="等线" w:hAnsi="等线"/>
          <w:b w:val="0"/>
          <w:sz w:val="21"/>
        </w:rPr>
        <w:t>1. 总能耗量：报告期内，我们公司的总能耗量为 X 吨标准煤。其中，直接能源消耗为 X 吨标准煤，间接能源消耗为 X 吨标准煤。</w:t>
      </w:r>
    </w:p>
    <w:p>
      <w:pPr>
        <w:jc w:val="left"/>
      </w:pPr>
      <w:r>
        <w:rPr>
          <w:rFonts w:ascii="等线" w:hAnsi="等线"/>
          <w:b w:val="0"/>
          <w:sz w:val="21"/>
        </w:rPr>
        <w:t>2. 能源结构：我们的能源消耗主要包括煤、电、气和油。其中，煤的消耗量为 X 吨标准煤，占总能耗的 X%；电的消耗量为 X 万千瓦时，占总能耗的 X%；气的消耗量为 X 立方米，占总能耗的 X%；油的消耗量为 X 吨标准煤，占总能耗的 X%。</w:t>
      </w:r>
    </w:p>
    <w:p>
      <w:pPr>
        <w:jc w:val="left"/>
      </w:pPr>
      <w:r>
        <w:rPr>
          <w:rFonts w:ascii="等线" w:hAnsi="等线"/>
          <w:b w:val="0"/>
          <w:sz w:val="21"/>
        </w:rPr>
        <w:t>3. 总能耗强度：我们的总能耗强度为 X 吨标准煤/产量单位。通过不断优化生产工艺和提高能源利用效率，我们成功地降低了总能耗强度，实现了可持续发展的目标。</w:t>
      </w:r>
    </w:p>
    <w:p>
      <w:pPr>
        <w:jc w:val="left"/>
      </w:pPr>
      <w:r>
        <w:rPr>
          <w:rFonts w:ascii="等线" w:hAnsi="等线"/>
          <w:b w:val="0"/>
          <w:sz w:val="21"/>
        </w:rPr>
        <w:t>二、清洁能源使用情况</w:t>
      </w:r>
    </w:p>
    <w:p>
      <w:pPr>
        <w:jc w:val="left"/>
      </w:pPr>
      <w:r>
        <w:rPr>
          <w:rFonts w:ascii="等线" w:hAnsi="等线"/>
          <w:b w:val="0"/>
          <w:sz w:val="21"/>
        </w:rPr>
        <w:t>1. 风能：我们在生产过程中积极利用风能，安装了 X 台风力发电机，总装机容量为 X 千瓦。报告期内，风力发电总量为 X 万千瓦时，占总能耗的 X%。</w:t>
      </w:r>
    </w:p>
    <w:p>
      <w:pPr>
        <w:jc w:val="left"/>
      </w:pPr>
      <w:r>
        <w:rPr>
          <w:rFonts w:ascii="等线" w:hAnsi="等线"/>
          <w:b w:val="0"/>
          <w:sz w:val="21"/>
        </w:rPr>
        <w:t>2. 太阳能：我们在工厂屋顶和停车场等区域安装了太阳能光伏板，总装机容量为 X 千瓦。报告期内，太阳能发电总量为 X 万千瓦时，占总能耗的 X%。</w:t>
      </w:r>
    </w:p>
    <w:p>
      <w:pPr>
        <w:jc w:val="left"/>
      </w:pPr>
      <w:r>
        <w:rPr>
          <w:rFonts w:ascii="等线" w:hAnsi="等线"/>
          <w:b w:val="0"/>
          <w:sz w:val="21"/>
        </w:rPr>
        <w:t>3. 水能：我们在工厂附近的河流上建设了小型水电站，总装机容量为 X 千瓦。报告期内，水力发电总量为 X 万千瓦时，占总能耗的 X%。</w:t>
      </w:r>
    </w:p>
    <w:p>
      <w:pPr>
        <w:jc w:val="left"/>
      </w:pPr>
      <w:r>
        <w:rPr>
          <w:rFonts w:ascii="等线" w:hAnsi="等线"/>
          <w:b w:val="0"/>
          <w:sz w:val="21"/>
        </w:rPr>
        <w:t>4. 地热能：我们在工厂地下深处开采地热能，用于供暖和制冷。报告期内，地热能使用总量为 X 万千瓦时，占总能耗的 X%。</w:t>
      </w:r>
    </w:p>
    <w:p>
      <w:pPr>
        <w:jc w:val="left"/>
      </w:pPr>
      <w:r>
        <w:rPr>
          <w:rFonts w:ascii="等线" w:hAnsi="等线"/>
          <w:b w:val="0"/>
          <w:sz w:val="21"/>
        </w:rPr>
        <w:t>5. 生物质资源：我们利用工厂周边的生物质资源，如农作物秸秆、木屑等，进行生物质发电和供热。报告期内，生物质资源利用总量为 X 吨标准煤，占总能耗的 X%。</w:t>
      </w:r>
    </w:p>
    <w:p>
      <w:pPr>
        <w:jc w:val="left"/>
      </w:pPr>
      <w:r>
        <w:rPr>
          <w:rFonts w:ascii="等线" w:hAnsi="等线"/>
          <w:b w:val="0"/>
          <w:sz w:val="21"/>
        </w:rPr>
        <w:t>6. 海洋能：我们正在研究利用海洋能的可行性，如潮汐能、波浪能等。目前，我们已经与相关科研机构合作，开展了海洋能利用的前期研究工作。</w:t>
      </w:r>
    </w:p>
    <w:p>
      <w:pPr>
        <w:jc w:val="left"/>
      </w:pPr>
      <w:r>
        <w:rPr>
          <w:rFonts w:ascii="等线" w:hAnsi="等线"/>
          <w:b w:val="0"/>
          <w:sz w:val="21"/>
        </w:rPr>
        <w:t>7. 天然气：我们在生产过程中使用了一定量的天然气，作为清洁能源的补充。报告期内，天然气的消耗量为 X 立方米，占总能耗的 X%。</w:t>
      </w:r>
    </w:p>
    <w:p>
      <w:pPr>
        <w:jc w:val="left"/>
      </w:pPr>
      <w:r>
        <w:rPr>
          <w:rFonts w:ascii="等线" w:hAnsi="等线"/>
          <w:b w:val="0"/>
          <w:sz w:val="21"/>
        </w:rPr>
        <w:t>三、能源节约目标以及具体措施</w:t>
      </w:r>
    </w:p>
    <w:p>
      <w:pPr>
        <w:jc w:val="left"/>
      </w:pPr>
      <w:r>
        <w:rPr>
          <w:rFonts w:ascii="等线" w:hAnsi="等线"/>
          <w:b w:val="0"/>
          <w:sz w:val="21"/>
        </w:rPr>
        <w:t>1. 能源节约目标：我们制定了明确的能源节约目标，即在未来 X 年内，将总能耗强度降低 X%。为了实现这一目标，我们将采取一系列措施，包括但不限于优化生产工艺、提高能源利用效率、推广节能技术和设备等。</w:t>
      </w:r>
    </w:p>
    <w:p>
      <w:pPr>
        <w:jc w:val="left"/>
      </w:pPr>
      <w:r>
        <w:rPr>
          <w:rFonts w:ascii="等线" w:hAnsi="等线"/>
          <w:b w:val="0"/>
          <w:sz w:val="21"/>
        </w:rPr>
        <w:t>2. 具体措施：</w:t>
      </w:r>
    </w:p>
    <w:p>
      <w:pPr>
        <w:ind w:left="480"/>
        <w:jc w:val="left"/>
      </w:pPr>
      <w:r>
        <w:rPr>
          <w:rFonts w:ascii="等线" w:hAnsi="等线"/>
          <w:b w:val="0"/>
          <w:sz w:val="21"/>
        </w:rPr>
        <w:t>◦ 采购节能生产设备：我们将优先采购节能生产设备，如节能电机、节能变压器、节能灯具等，以提高能源利用效率。</w:t>
      </w:r>
    </w:p>
    <w:p>
      <w:pPr>
        <w:ind w:left="480"/>
        <w:jc w:val="left"/>
      </w:pPr>
      <w:r>
        <w:rPr>
          <w:rFonts w:ascii="等线" w:hAnsi="等线"/>
          <w:b w:val="0"/>
          <w:sz w:val="21"/>
        </w:rPr>
        <w:t>◦ 节能照明设备：我们将在工厂内部和办公区域推广使用节能照明设备，如 LED 灯、节能灯等，以降低照明能耗。</w:t>
      </w:r>
    </w:p>
    <w:p>
      <w:pPr>
        <w:ind w:left="480"/>
        <w:jc w:val="left"/>
      </w:pPr>
      <w:r>
        <w:rPr>
          <w:rFonts w:ascii="等线" w:hAnsi="等线"/>
          <w:b w:val="0"/>
          <w:sz w:val="21"/>
        </w:rPr>
        <w:t>◦ 节能温控设备：我们将在工厂内部和办公区域安装节能温控设备，如智能空调、智能热水器等，以降低温控能耗。</w:t>
      </w:r>
    </w:p>
    <w:p>
      <w:pPr>
        <w:ind w:left="480"/>
        <w:jc w:val="left"/>
      </w:pPr>
      <w:r>
        <w:rPr>
          <w:rFonts w:ascii="等线" w:hAnsi="等线"/>
          <w:b w:val="0"/>
          <w:sz w:val="21"/>
        </w:rPr>
        <w:t>◦ 余热余压利用：我们将充分利用生产过程中产生的余热余压，进行发电和供热，以提高能源利用效率。</w:t>
      </w:r>
    </w:p>
    <w:p>
      <w:pPr>
        <w:ind w:left="480"/>
        <w:jc w:val="left"/>
      </w:pPr>
      <w:r>
        <w:rPr>
          <w:rFonts w:ascii="等线" w:hAnsi="等线"/>
          <w:b w:val="0"/>
          <w:sz w:val="21"/>
        </w:rPr>
        <w:t>◦ 能源梯级利用：我们将根据不同能源的品质和特点，进行能源梯级利用，如将高品质能源用于生产工艺，将低品质能源用于供暖和制冷等，以提高能源利用效率。</w:t>
      </w:r>
    </w:p>
    <w:p>
      <w:pPr>
        <w:ind w:left="480"/>
        <w:jc w:val="left"/>
      </w:pPr>
      <w:r>
        <w:rPr>
          <w:rFonts w:ascii="等线" w:hAnsi="等线"/>
          <w:b w:val="0"/>
          <w:sz w:val="21"/>
        </w:rPr>
        <w:t>◦ 能源管理体系建设：我们将建立完善的能源管理体系，加强能源计量、统计和分析工作，及时发现能源使用过程中的问题，并采取相应的措施进行改进。</w:t>
      </w:r>
    </w:p>
    <w:p>
      <w:pPr>
        <w:jc w:val="left"/>
      </w:pPr>
      <w:r>
        <w:rPr>
          <w:rFonts w:ascii="等线" w:hAnsi="等线"/>
          <w:b w:val="0"/>
          <w:sz w:val="21"/>
        </w:rPr>
        <w:t>四、能源使用存在的具体困难</w:t>
      </w:r>
    </w:p>
    <w:p>
      <w:pPr>
        <w:jc w:val="left"/>
      </w:pPr>
      <w:r>
        <w:rPr>
          <w:rFonts w:ascii="等线" w:hAnsi="等线"/>
          <w:b w:val="0"/>
          <w:sz w:val="21"/>
        </w:rPr>
        <w:t>尽管我们在能源利用方面取得了一定的成绩，但仍然面临一些困难和挑战。例如，清洁能源的供应不稳定，能源价格波动较大，能源管理体系建设还需要进一步完善等。针对这些问题，我们将采取积极的措施，加强与供应商的合作，优化能源采购策略，加强能源管理体系建设，提高能源利用效率，降低能源成本，实现可持续发展的目标。</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rPr>
                <w:sz w:val="21"/>
              </w:rPr>
              <w:t>绩效指标</w:t>
            </w:r>
          </w:p>
        </w:tc>
        <w:tc>
          <w:tcPr>
            <w:tcW w:type="dxa" w:w="1928"/>
            <w:shd w:fill="f5f2f0"/>
          </w:tcPr>
          <w:p>
            <w:r>
              <w:rPr>
                <w:sz w:val="21"/>
              </w:rPr>
              <w:t>单位</w:t>
            </w:r>
          </w:p>
        </w:tc>
        <w:tc>
          <w:tcPr>
            <w:tcW w:type="dxa" w:w="1928"/>
            <w:shd w:fill="f5f2f0"/>
          </w:tcPr>
          <w:p>
            <w:r>
              <w:rPr>
                <w:sz w:val="21"/>
              </w:rPr>
              <w:t>2021</w:t>
            </w:r>
          </w:p>
        </w:tc>
        <w:tc>
          <w:tcPr>
            <w:tcW w:type="dxa" w:w="1928"/>
            <w:shd w:fill="f5f2f0"/>
          </w:tcPr>
          <w:p>
            <w:r>
              <w:rPr>
                <w:sz w:val="21"/>
              </w:rPr>
              <w:t>2022</w:t>
            </w:r>
          </w:p>
        </w:tc>
        <w:tc>
          <w:tcPr>
            <w:tcW w:type="dxa" w:w="1928"/>
            <w:shd w:fill="f5f2f0"/>
          </w:tcPr>
          <w:p>
            <w:r>
              <w:rPr>
                <w:sz w:val="21"/>
              </w:rPr>
              <w:t>2023</w:t>
            </w:r>
          </w:p>
        </w:tc>
      </w:tr>
      <w:tr>
        <w:tc>
          <w:tcPr>
            <w:tcW w:type="dxa" w:w="1928"/>
          </w:tcPr>
          <w:p>
            <w:r>
              <w:rPr>
                <w:sz w:val="21"/>
              </w:rPr>
              <w:t>能源消耗：标煤</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能源消耗：天然气</w:t>
            </w:r>
          </w:p>
        </w:tc>
        <w:tc>
          <w:tcPr>
            <w:tcW w:type="dxa" w:w="1928"/>
          </w:tcPr>
          <w:p>
            <w:r>
              <w:rPr>
                <w:sz w:val="21"/>
              </w:rPr>
              <w:t>立方米</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能源消耗：汽油</w:t>
            </w:r>
          </w:p>
        </w:tc>
        <w:tc>
          <w:tcPr>
            <w:tcW w:type="dxa" w:w="1928"/>
          </w:tcPr>
          <w:p>
            <w:r>
              <w:rPr>
                <w:sz w:val="21"/>
              </w:rPr>
              <w:t>千焦</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能源消耗：柴油</w:t>
            </w:r>
          </w:p>
        </w:tc>
        <w:tc>
          <w:tcPr>
            <w:tcW w:type="dxa" w:w="1928"/>
          </w:tcPr>
          <w:p>
            <w:r>
              <w:rPr>
                <w:sz w:val="21"/>
              </w:rPr>
              <w:t>千焦</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能源消耗：电力</w:t>
            </w:r>
          </w:p>
        </w:tc>
        <w:tc>
          <w:tcPr>
            <w:tcW w:type="dxa" w:w="1928"/>
          </w:tcPr>
          <w:p>
            <w:r>
              <w:rPr>
                <w:sz w:val="21"/>
              </w:rPr>
              <w:t>兆瓦时</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自发电量</w:t>
            </w:r>
          </w:p>
        </w:tc>
        <w:tc>
          <w:tcPr>
            <w:tcW w:type="dxa" w:w="1928"/>
          </w:tcPr>
          <w:p>
            <w:r>
              <w:rPr>
                <w:sz w:val="21"/>
              </w:rPr>
              <w:t>兆瓦时</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清洁能源使用量</w:t>
            </w:r>
          </w:p>
        </w:tc>
        <w:tc>
          <w:tcPr>
            <w:tcW w:type="dxa" w:w="1928"/>
          </w:tcPr>
          <w:p>
            <w:r>
              <w:rPr>
                <w:sz w:val="21"/>
              </w:rPr>
              <w:t>千焦</w:t>
            </w:r>
          </w:p>
        </w:tc>
        <w:tc>
          <w:tcPr>
            <w:tcW w:type="dxa" w:w="1928"/>
          </w:tcPr>
          <w:p>
            <w:r>
              <w:rPr>
                <w:sz w:val="21"/>
              </w:rPr>
            </w:r>
          </w:p>
        </w:tc>
        <w:tc>
          <w:tcPr>
            <w:tcW w:type="dxa" w:w="1928"/>
          </w:tcPr>
          <w:p>
            <w:r>
              <w:rPr>
                <w:sz w:val="21"/>
              </w:rPr>
            </w:r>
          </w:p>
        </w:tc>
        <w:tc>
          <w:tcPr>
            <w:tcW w:type="dxa" w:w="1928"/>
          </w:tcPr>
          <w:p>
            <w:r>
              <w:rPr>
                <w:sz w:val="21"/>
              </w:rPr>
            </w:r>
          </w:p>
        </w:tc>
      </w:tr>
    </w:tbl>
    <w:p>
      <w:pPr>
        <w:pStyle w:val="Heading2"/>
      </w:pPr>
      <w:r>
        <w:rPr>
          <w:rFonts w:ascii="等线" w:hAnsi="等线" w:eastAsia="等线"/>
          <w:color w:val="000000"/>
          <w:sz w:val="32"/>
        </w:rPr>
        <w:t>水资源利用</w:t>
      </w:r>
    </w:p>
    <w:p>
      <w:pPr>
        <w:jc w:val="left"/>
      </w:pPr>
      <w:r>
        <w:rPr>
          <w:rFonts w:ascii="等线" w:hAnsi="等线"/>
          <w:b w:val="0"/>
          <w:sz w:val="21"/>
        </w:rPr>
        <w:t>水资源利用</w:t>
      </w:r>
    </w:p>
    <w:p>
      <w:pPr>
        <w:jc w:val="left"/>
      </w:pPr>
      <w:r>
        <w:rPr>
          <w:rFonts w:ascii="等线" w:hAnsi="等线"/>
          <w:b w:val="0"/>
          <w:sz w:val="21"/>
        </w:rPr>
        <w:t>一、水资源使用的基本情况</w:t>
      </w:r>
    </w:p>
    <w:p>
      <w:pPr>
        <w:jc w:val="left"/>
      </w:pPr>
      <w:r>
        <w:rPr>
          <w:rFonts w:ascii="等线" w:hAnsi="等线"/>
          <w:b w:val="0"/>
          <w:sz w:val="21"/>
        </w:rPr>
        <w:t>在报告期内，本公司的总耗水量为</w:t>
      </w:r>
      <w:r>
        <w:rPr>
          <w:rFonts w:ascii="等线" w:hAnsi="等线"/>
          <w:b w:val="0"/>
          <w:sz w:val="21"/>
          <w:highlight w:val="yellow"/>
        </w:rPr>
        <w:t>[X]</w:t>
      </w:r>
      <w:r>
        <w:rPr>
          <w:rFonts w:ascii="等线" w:hAnsi="等线"/>
          <w:b w:val="0"/>
          <w:sz w:val="21"/>
        </w:rPr>
        <w:t>吨。为了更全面地了解我们的水资源使用情况，我们还计算了水资源使用强度，以每产量单位的耗水量来衡量。通过这一指标，我们能够更好地评估生产过程中的水资源利用效率，并与同行业进行比较。</w:t>
      </w:r>
    </w:p>
    <w:p>
      <w:pPr>
        <w:jc w:val="left"/>
      </w:pPr>
      <w:r>
        <w:rPr>
          <w:rFonts w:ascii="等线" w:hAnsi="等线"/>
          <w:b w:val="0"/>
          <w:sz w:val="21"/>
        </w:rPr>
        <w:t>我们的主要用水环节包括生产制造、冷却系统、员工生活用水等。其中，生产制造过程中的用水量最大，占总耗水量的</w:t>
      </w:r>
      <w:r>
        <w:rPr>
          <w:rFonts w:ascii="等线" w:hAnsi="等线"/>
          <w:b w:val="0"/>
          <w:sz w:val="21"/>
          <w:highlight w:val="yellow"/>
        </w:rPr>
        <w:t>[X]</w:t>
      </w:r>
      <w:r>
        <w:rPr>
          <w:rFonts w:ascii="等线" w:hAnsi="等线"/>
          <w:b w:val="0"/>
          <w:sz w:val="21"/>
        </w:rPr>
        <w:t>%。为了减少水资源的浪费，我们采取了一系列措施，如优化生产工艺、安装节水设备等，以提高水资源的利用效率。</w:t>
      </w:r>
    </w:p>
    <w:p>
      <w:pPr>
        <w:jc w:val="left"/>
      </w:pPr>
      <w:r>
        <w:rPr>
          <w:rFonts w:ascii="等线" w:hAnsi="等线"/>
          <w:b w:val="0"/>
          <w:sz w:val="21"/>
        </w:rPr>
        <w:t>二、水资源节约目标以及具体措施</w:t>
      </w:r>
    </w:p>
    <w:p>
      <w:pPr>
        <w:jc w:val="left"/>
      </w:pPr>
      <w:r>
        <w:rPr>
          <w:rFonts w:ascii="等线" w:hAnsi="等线"/>
          <w:b w:val="0"/>
          <w:sz w:val="21"/>
        </w:rPr>
        <w:t>为了实现可持续发展，我们制定了水资源节约目标，并采取了以下具体措施：</w:t>
      </w:r>
    </w:p>
    <w:p>
      <w:pPr>
        <w:jc w:val="left"/>
      </w:pPr>
      <w:r>
        <w:rPr>
          <w:rFonts w:ascii="等线" w:hAnsi="等线"/>
          <w:b w:val="0"/>
          <w:sz w:val="21"/>
        </w:rPr>
        <w:t>1. 优化生产工艺：通过改进生产流程，减少不必要的水资源消耗。例如，采用先进的冷却技术，降低冷却系统的用水量。</w:t>
      </w:r>
    </w:p>
    <w:p>
      <w:pPr>
        <w:jc w:val="left"/>
      </w:pPr>
      <w:r>
        <w:rPr>
          <w:rFonts w:ascii="等线" w:hAnsi="等线"/>
          <w:b w:val="0"/>
          <w:sz w:val="21"/>
        </w:rPr>
        <w:t>2. 安装节水设备：在生产车间和办公区域安装节水器具，如节水龙头、马桶等，减少水资源的浪费。</w:t>
      </w:r>
    </w:p>
    <w:p>
      <w:pPr>
        <w:jc w:val="left"/>
      </w:pPr>
      <w:r>
        <w:rPr>
          <w:rFonts w:ascii="等线" w:hAnsi="等线"/>
          <w:b w:val="0"/>
          <w:sz w:val="21"/>
        </w:rPr>
        <w:t>3. 加强水资源管理：建立完善的水资源管理制度，加强对用水的监测和管理，及时发现并解决水资源浪费问题。</w:t>
      </w:r>
    </w:p>
    <w:p>
      <w:pPr>
        <w:jc w:val="left"/>
      </w:pPr>
      <w:r>
        <w:rPr>
          <w:rFonts w:ascii="等线" w:hAnsi="等线"/>
          <w:b w:val="0"/>
          <w:sz w:val="21"/>
        </w:rPr>
        <w:t>4. 开展员工培训：通过开展水资源节约培训，提高员工的节水意识，鼓励员工积极参与水资源节约行动。</w:t>
      </w:r>
    </w:p>
    <w:p>
      <w:pPr>
        <w:jc w:val="left"/>
      </w:pPr>
      <w:r>
        <w:rPr>
          <w:rFonts w:ascii="等线" w:hAnsi="等线"/>
          <w:b w:val="0"/>
          <w:sz w:val="21"/>
        </w:rPr>
        <w:t>通过以上措施的实施，我们在水资源节约方面取得了显著成效。在报告期内，我们成功实现了水资源使用强度降低</w:t>
      </w:r>
      <w:r>
        <w:rPr>
          <w:rFonts w:ascii="等线" w:hAnsi="等线"/>
          <w:b w:val="0"/>
          <w:sz w:val="21"/>
          <w:highlight w:val="yellow"/>
        </w:rPr>
        <w:t>[X]</w:t>
      </w:r>
      <w:r>
        <w:rPr>
          <w:rFonts w:ascii="等线" w:hAnsi="等线"/>
          <w:b w:val="0"/>
          <w:sz w:val="21"/>
        </w:rPr>
        <w:t>%的目标，为可持续发展做出了积极贡献。</w:t>
      </w:r>
    </w:p>
    <w:p>
      <w:pPr>
        <w:jc w:val="left"/>
      </w:pPr>
      <w:r>
        <w:rPr>
          <w:rFonts w:ascii="等线" w:hAnsi="等线"/>
          <w:b w:val="0"/>
          <w:sz w:val="21"/>
        </w:rPr>
        <w:t>三、水资源回收利用情况</w:t>
      </w:r>
    </w:p>
    <w:p>
      <w:pPr>
        <w:jc w:val="left"/>
      </w:pPr>
      <w:r>
        <w:rPr>
          <w:rFonts w:ascii="等线" w:hAnsi="等线"/>
          <w:b w:val="0"/>
          <w:sz w:val="21"/>
        </w:rPr>
        <w:t>为了进一步提高水资源的利用效率，我们积极开展水资源回收利用工作。在生产过程中，我们对废水进行处理和回用，减少了新鲜水的使用量。同时，我们还对雨水进行收集和利用，用于绿化灌溉和景观用水等。</w:t>
      </w:r>
    </w:p>
    <w:p>
      <w:pPr>
        <w:jc w:val="left"/>
      </w:pPr>
      <w:r>
        <w:rPr>
          <w:rFonts w:ascii="等线" w:hAnsi="等线"/>
          <w:b w:val="0"/>
          <w:sz w:val="21"/>
        </w:rPr>
        <w:t>通过水资源回收利用，我们不仅减少了对水资源的需求，还降低了废水排放对环境的影响。在报告期内，我们的水资源回收利用率达到了</w:t>
      </w:r>
      <w:r>
        <w:rPr>
          <w:rFonts w:ascii="等线" w:hAnsi="等线"/>
          <w:b w:val="0"/>
          <w:sz w:val="21"/>
          <w:highlight w:val="yellow"/>
        </w:rPr>
        <w:t>[X]</w:t>
      </w:r>
      <w:r>
        <w:rPr>
          <w:rFonts w:ascii="等线" w:hAnsi="等线"/>
          <w:b w:val="0"/>
          <w:sz w:val="21"/>
        </w:rPr>
        <w:t>%，为企业的可持续发展提供了有力支持。</w:t>
      </w:r>
    </w:p>
    <w:p>
      <w:pPr>
        <w:jc w:val="left"/>
      </w:pPr>
      <w:r>
        <w:rPr>
          <w:rFonts w:ascii="等线" w:hAnsi="等线"/>
          <w:b w:val="0"/>
          <w:sz w:val="21"/>
        </w:rPr>
        <w:t>四、水资源使用存在的具体困难</w:t>
      </w:r>
    </w:p>
    <w:p>
      <w:pPr>
        <w:jc w:val="left"/>
      </w:pPr>
      <w:r>
        <w:rPr>
          <w:rFonts w:ascii="等线" w:hAnsi="等线"/>
          <w:b w:val="0"/>
          <w:sz w:val="21"/>
        </w:rPr>
        <w:t>尽管我们在水资源节约和回收利用方面取得了一定的成绩，但在实际工作中仍面临一些困难和挑战。例如：</w:t>
      </w:r>
    </w:p>
    <w:p>
      <w:pPr>
        <w:jc w:val="left"/>
      </w:pPr>
      <w:r>
        <w:rPr>
          <w:rFonts w:ascii="等线" w:hAnsi="等线"/>
          <w:b w:val="0"/>
          <w:sz w:val="21"/>
        </w:rPr>
        <w:t>1. 水资源供应紧张：随着企业的发展和生产规模的扩大，水资源的需求不断增加。然而，由于水资源的有限性和地区分布不均，水资源供应紧张的问题日益突出。</w:t>
      </w:r>
    </w:p>
    <w:p>
      <w:pPr>
        <w:jc w:val="left"/>
      </w:pPr>
      <w:r>
        <w:rPr>
          <w:rFonts w:ascii="等线" w:hAnsi="等线"/>
          <w:b w:val="0"/>
          <w:sz w:val="21"/>
        </w:rPr>
        <w:t>2. 节水技术和设备的成本较高：虽然节水技术和设备能够有效提高水资源的利用效率，但这些技术和设备的成本较高，给企业带来了一定的经济压力。</w:t>
      </w:r>
    </w:p>
    <w:p>
      <w:pPr>
        <w:jc w:val="left"/>
      </w:pPr>
      <w:r>
        <w:rPr>
          <w:rFonts w:ascii="等线" w:hAnsi="等线"/>
          <w:b w:val="0"/>
          <w:sz w:val="21"/>
        </w:rPr>
        <w:t>3. 员工节水意识有待提高：尽管我们开展了员工培训，但仍有部分员工的节水意识不强，存在水资源浪费的现象。</w:t>
      </w:r>
    </w:p>
    <w:p>
      <w:pPr>
        <w:jc w:val="left"/>
      </w:pPr>
      <w:r>
        <w:rPr>
          <w:rFonts w:ascii="等线" w:hAnsi="等线"/>
          <w:b w:val="0"/>
          <w:sz w:val="21"/>
        </w:rPr>
        <w:t>针对以上问题，我们将采取以下措施加以解决：</w:t>
      </w:r>
    </w:p>
    <w:p>
      <w:pPr>
        <w:jc w:val="left"/>
      </w:pPr>
      <w:r>
        <w:rPr>
          <w:rFonts w:ascii="等线" w:hAnsi="等线"/>
          <w:b w:val="0"/>
          <w:sz w:val="21"/>
        </w:rPr>
        <w:t>1. 加强与当地政府和水务部门的沟通与合作：积极争取政府的支持和帮助，解决水资源供应紧张的问题。</w:t>
      </w:r>
    </w:p>
    <w:p>
      <w:pPr>
        <w:jc w:val="left"/>
      </w:pPr>
      <w:r>
        <w:rPr>
          <w:rFonts w:ascii="等线" w:hAnsi="等线"/>
          <w:b w:val="0"/>
          <w:sz w:val="21"/>
        </w:rPr>
        <w:t>2. 加大对节水技术和设备的研发投入：通过自主研发和引进先进技术，降低节水技术和设备的成本，提高企业的水资源利用效率。</w:t>
      </w:r>
    </w:p>
    <w:p>
      <w:pPr>
        <w:jc w:val="left"/>
      </w:pPr>
      <w:r>
        <w:rPr>
          <w:rFonts w:ascii="等线" w:hAnsi="等线"/>
          <w:b w:val="0"/>
          <w:sz w:val="21"/>
        </w:rPr>
        <w:t>3. 加强对员工的节水宣传和教育：通过开展形式多样的节水宣传活动，提高员工的节水意识，营造良好的节水氛围。</w:t>
      </w:r>
    </w:p>
    <w:p>
      <w:pPr>
        <w:jc w:val="left"/>
      </w:pPr>
      <w:r>
        <w:rPr>
          <w:rFonts w:ascii="等线" w:hAnsi="等线"/>
          <w:b w:val="0"/>
          <w:sz w:val="21"/>
        </w:rPr>
        <w:t>总之，水资源是企业可持续发展的重要资源之一。我们将继续加强水资源管理，提高水资源利用效率，为实现可持续发展目标做出更大的贡献。</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rPr>
                <w:sz w:val="21"/>
              </w:rPr>
              <w:t>绩效指标</w:t>
            </w:r>
          </w:p>
        </w:tc>
        <w:tc>
          <w:tcPr>
            <w:tcW w:type="dxa" w:w="1928"/>
            <w:shd w:fill="f5f2f0"/>
          </w:tcPr>
          <w:p>
            <w:r>
              <w:rPr>
                <w:sz w:val="21"/>
              </w:rPr>
              <w:t>单位</w:t>
            </w:r>
          </w:p>
        </w:tc>
        <w:tc>
          <w:tcPr>
            <w:tcW w:type="dxa" w:w="1928"/>
            <w:shd w:fill="f5f2f0"/>
          </w:tcPr>
          <w:p>
            <w:r>
              <w:rPr>
                <w:sz w:val="21"/>
              </w:rPr>
              <w:t>2021</w:t>
            </w:r>
          </w:p>
        </w:tc>
        <w:tc>
          <w:tcPr>
            <w:tcW w:type="dxa" w:w="1928"/>
            <w:shd w:fill="f5f2f0"/>
          </w:tcPr>
          <w:p>
            <w:r>
              <w:rPr>
                <w:sz w:val="21"/>
              </w:rPr>
              <w:t>2022</w:t>
            </w:r>
          </w:p>
        </w:tc>
        <w:tc>
          <w:tcPr>
            <w:tcW w:type="dxa" w:w="1928"/>
            <w:shd w:fill="f5f2f0"/>
          </w:tcPr>
          <w:p>
            <w:r>
              <w:rPr>
                <w:sz w:val="21"/>
              </w:rPr>
              <w:t>2023</w:t>
            </w:r>
          </w:p>
        </w:tc>
      </w:tr>
      <w:tr>
        <w:tc>
          <w:tcPr>
            <w:tcW w:type="dxa" w:w="1928"/>
          </w:tcPr>
          <w:p>
            <w:r>
              <w:rPr>
                <w:sz w:val="21"/>
              </w:rPr>
              <w:t>新水消耗量</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新水消耗量-市政自来水</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新水消耗量-地表水</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新水消耗量-地下水</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中水回用量</w:t>
            </w:r>
          </w:p>
        </w:tc>
        <w:tc>
          <w:tcPr>
            <w:tcW w:type="dxa" w:w="1928"/>
          </w:tcPr>
          <w:p>
            <w:r>
              <w:rPr>
                <w:sz w:val="21"/>
              </w:rPr>
              <w:t>吨</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中水回用率</w:t>
            </w:r>
          </w:p>
        </w:tc>
        <w:tc>
          <w:tcPr>
            <w:tcW w:type="dxa" w:w="1928"/>
          </w:tcPr>
          <w:p>
            <w:r>
              <w:rPr>
                <w:sz w:val="21"/>
              </w:rPr>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处于高水风险地区运营点数量</w:t>
            </w:r>
          </w:p>
        </w:tc>
        <w:tc>
          <w:tcPr>
            <w:tcW w:type="dxa" w:w="1928"/>
          </w:tcPr>
          <w:p>
            <w:r>
              <w:rPr>
                <w:sz w:val="21"/>
              </w:rPr>
              <w:t>家</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处于中水风险地区运营点数量</w:t>
            </w:r>
          </w:p>
        </w:tc>
        <w:tc>
          <w:tcPr>
            <w:tcW w:type="dxa" w:w="1928"/>
          </w:tcPr>
          <w:p>
            <w:r>
              <w:rPr>
                <w:sz w:val="21"/>
              </w:rPr>
              <w:t>家</w:t>
            </w:r>
          </w:p>
        </w:tc>
        <w:tc>
          <w:tcPr>
            <w:tcW w:type="dxa" w:w="1928"/>
          </w:tcPr>
          <w:p>
            <w:r>
              <w:rPr>
                <w:sz w:val="21"/>
              </w:rPr>
            </w:r>
          </w:p>
        </w:tc>
        <w:tc>
          <w:tcPr>
            <w:tcW w:type="dxa" w:w="1928"/>
          </w:tcPr>
          <w:p>
            <w:r>
              <w:rPr>
                <w:sz w:val="21"/>
              </w:rPr>
            </w:r>
          </w:p>
        </w:tc>
        <w:tc>
          <w:tcPr>
            <w:tcW w:type="dxa" w:w="1928"/>
          </w:tcPr>
          <w:p>
            <w:r>
              <w:rPr>
                <w:sz w:val="21"/>
              </w:rPr>
            </w:r>
          </w:p>
        </w:tc>
      </w:tr>
    </w:tbl>
    <w:p>
      <w:pPr>
        <w:pStyle w:val="Heading2"/>
      </w:pPr>
      <w:r>
        <w:rPr>
          <w:rFonts w:ascii="等线" w:hAnsi="等线" w:eastAsia="等线"/>
          <w:color w:val="000000"/>
          <w:sz w:val="32"/>
        </w:rPr>
        <w:t>循环经济</w:t>
      </w:r>
    </w:p>
    <w:p>
      <w:pPr>
        <w:jc w:val="left"/>
      </w:pPr>
      <w:r>
        <w:rPr>
          <w:rFonts w:ascii="等线" w:hAnsi="等线"/>
          <w:b w:val="0"/>
          <w:sz w:val="21"/>
        </w:rPr>
        <w:t>以下是一个面向国际市场的大型民营汽车零部件企业 ESG 报告中环境-循环经济的内容模板：</w:t>
      </w:r>
    </w:p>
    <w:p>
      <w:pPr>
        <w:jc w:val="left"/>
      </w:pPr>
      <w:r>
        <w:rPr>
          <w:rFonts w:ascii="等线" w:hAnsi="等线"/>
          <w:b w:val="0"/>
          <w:sz w:val="21"/>
        </w:rPr>
        <w:t>循环经济</w:t>
      </w:r>
    </w:p>
    <w:p>
      <w:pPr>
        <w:jc w:val="left"/>
      </w:pPr>
      <w:r>
        <w:rPr>
          <w:rFonts w:ascii="等线" w:hAnsi="等线"/>
          <w:b w:val="0"/>
          <w:sz w:val="21"/>
        </w:rPr>
        <w:t>1. 为实现循环经济而制定的具体目标和计划</w:t>
      </w:r>
    </w:p>
    <w:p>
      <w:pPr>
        <w:ind w:left="480"/>
        <w:jc w:val="left"/>
      </w:pPr>
      <w:r>
        <w:rPr>
          <w:rFonts w:ascii="等线" w:hAnsi="等线"/>
          <w:b w:val="0"/>
          <w:sz w:val="21"/>
        </w:rPr>
        <w:t>◦ 目标：在</w:t>
      </w:r>
      <w:r>
        <w:rPr>
          <w:rFonts w:ascii="等线" w:hAnsi="等线"/>
          <w:b w:val="0"/>
          <w:sz w:val="21"/>
          <w:highlight w:val="yellow"/>
        </w:rPr>
        <w:t>[具体时间段]</w:t>
      </w:r>
      <w:r>
        <w:rPr>
          <w:rFonts w:ascii="等线" w:hAnsi="等线"/>
          <w:b w:val="0"/>
          <w:sz w:val="21"/>
        </w:rPr>
        <w:t>内，将废弃物产生量减少</w:t>
      </w:r>
      <w:r>
        <w:rPr>
          <w:rFonts w:ascii="等线" w:hAnsi="等线"/>
          <w:b w:val="0"/>
          <w:sz w:val="21"/>
          <w:highlight w:val="yellow"/>
        </w:rPr>
        <w:t>[X]</w:t>
      </w:r>
      <w:r>
        <w:rPr>
          <w:rFonts w:ascii="等线" w:hAnsi="等线"/>
          <w:b w:val="0"/>
          <w:sz w:val="21"/>
        </w:rPr>
        <w:t>%，并将可再生资源的使用量提高至</w:t>
      </w:r>
      <w:r>
        <w:rPr>
          <w:rFonts w:ascii="等线" w:hAnsi="等线"/>
          <w:b w:val="0"/>
          <w:sz w:val="21"/>
          <w:highlight w:val="yellow"/>
        </w:rPr>
        <w:t>[X]</w:t>
      </w:r>
      <w:r>
        <w:rPr>
          <w:rFonts w:ascii="等线" w:hAnsi="等线"/>
          <w:b w:val="0"/>
          <w:sz w:val="21"/>
        </w:rPr>
        <w:t>%。</w:t>
      </w:r>
    </w:p>
    <w:p>
      <w:pPr>
        <w:ind w:left="480"/>
        <w:jc w:val="left"/>
      </w:pPr>
      <w:r>
        <w:rPr>
          <w:rFonts w:ascii="等线" w:hAnsi="等线"/>
          <w:b w:val="0"/>
          <w:sz w:val="21"/>
        </w:rPr>
        <w:t>◦ 计划：</w:t>
      </w:r>
    </w:p>
    <w:p>
      <w:pPr>
        <w:ind w:left="480"/>
        <w:jc w:val="left"/>
      </w:pPr>
      <w:r>
        <w:rPr>
          <w:rFonts w:ascii="等线" w:hAnsi="等线"/>
          <w:b w:val="0"/>
          <w:sz w:val="21"/>
        </w:rPr>
        <w:t>◦ 实施资源管理系统，以跟踪和优化资源使用。</w:t>
      </w:r>
    </w:p>
    <w:p>
      <w:pPr>
        <w:ind w:left="480"/>
        <w:jc w:val="left"/>
      </w:pPr>
      <w:r>
        <w:rPr>
          <w:rFonts w:ascii="等线" w:hAnsi="等线"/>
          <w:b w:val="0"/>
          <w:sz w:val="21"/>
        </w:rPr>
        <w:t>◦ 投资于可再生能源项目，如太阳能和风能。</w:t>
      </w:r>
    </w:p>
    <w:p>
      <w:pPr>
        <w:ind w:left="480"/>
        <w:jc w:val="left"/>
      </w:pPr>
      <w:r>
        <w:rPr>
          <w:rFonts w:ascii="等线" w:hAnsi="等线"/>
          <w:b w:val="0"/>
          <w:sz w:val="21"/>
        </w:rPr>
        <w:t>◦ 建立废弃物分类和回收计划。</w:t>
      </w:r>
    </w:p>
    <w:p>
      <w:pPr>
        <w:jc w:val="left"/>
      </w:pPr>
      <w:r>
        <w:rPr>
          <w:rFonts w:ascii="等线" w:hAnsi="等线"/>
          <w:b w:val="0"/>
          <w:sz w:val="21"/>
        </w:rPr>
        <w:t>2. 报告期内为实现循环经济而采取的具体措施</w:t>
      </w:r>
    </w:p>
    <w:p>
      <w:pPr>
        <w:ind w:left="480"/>
        <w:jc w:val="left"/>
      </w:pPr>
      <w:r>
        <w:rPr>
          <w:rFonts w:ascii="等线" w:hAnsi="等线"/>
          <w:b w:val="0"/>
          <w:sz w:val="21"/>
        </w:rPr>
        <w:t>◦ 节省资源：</w:t>
      </w:r>
    </w:p>
    <w:p>
      <w:pPr>
        <w:ind w:left="480"/>
        <w:jc w:val="left"/>
      </w:pPr>
      <w:r>
        <w:rPr>
          <w:rFonts w:ascii="等线" w:hAnsi="等线"/>
          <w:b w:val="0"/>
          <w:sz w:val="21"/>
        </w:rPr>
        <w:t>◦ 安装节能设备，如 LED 照明和智能控制系统，以减少能源消耗。</w:t>
      </w:r>
    </w:p>
    <w:p>
      <w:pPr>
        <w:ind w:left="480"/>
        <w:jc w:val="left"/>
      </w:pPr>
      <w:r>
        <w:rPr>
          <w:rFonts w:ascii="等线" w:hAnsi="等线"/>
          <w:b w:val="0"/>
          <w:sz w:val="21"/>
        </w:rPr>
        <w:t>◦ 优化生产流程，减少原材料的浪费。</w:t>
      </w:r>
    </w:p>
    <w:p>
      <w:pPr>
        <w:ind w:left="480"/>
        <w:jc w:val="left"/>
      </w:pPr>
      <w:r>
        <w:rPr>
          <w:rFonts w:ascii="等线" w:hAnsi="等线"/>
          <w:b w:val="0"/>
          <w:sz w:val="21"/>
        </w:rPr>
        <w:t>◦ 提高资源利用率：</w:t>
      </w:r>
    </w:p>
    <w:p>
      <w:pPr>
        <w:ind w:left="480"/>
        <w:jc w:val="left"/>
      </w:pPr>
      <w:r>
        <w:rPr>
          <w:rFonts w:ascii="等线" w:hAnsi="等线"/>
          <w:b w:val="0"/>
          <w:sz w:val="21"/>
        </w:rPr>
        <w:t>◦ 实施精益生产方法，以提高生产效率和减少废弃物。</w:t>
      </w:r>
    </w:p>
    <w:p>
      <w:pPr>
        <w:ind w:left="480"/>
        <w:jc w:val="left"/>
      </w:pPr>
      <w:r>
        <w:rPr>
          <w:rFonts w:ascii="等线" w:hAnsi="等线"/>
          <w:b w:val="0"/>
          <w:sz w:val="21"/>
        </w:rPr>
        <w:t>◦ 开展再制造业务，将废旧零部件重新加工成可用产品。</w:t>
      </w:r>
    </w:p>
    <w:p>
      <w:pPr>
        <w:ind w:left="480"/>
        <w:jc w:val="left"/>
      </w:pPr>
      <w:r>
        <w:rPr>
          <w:rFonts w:ascii="等线" w:hAnsi="等线"/>
          <w:b w:val="0"/>
          <w:sz w:val="21"/>
        </w:rPr>
        <w:t>◦ 使用可再生资源：</w:t>
      </w:r>
    </w:p>
    <w:p>
      <w:pPr>
        <w:ind w:left="480"/>
        <w:jc w:val="left"/>
      </w:pPr>
      <w:r>
        <w:rPr>
          <w:rFonts w:ascii="等线" w:hAnsi="等线"/>
          <w:b w:val="0"/>
          <w:sz w:val="21"/>
        </w:rPr>
        <w:t>◦ 增加太阳能和风能在能源供应中的比例。</w:t>
      </w:r>
    </w:p>
    <w:p>
      <w:pPr>
        <w:ind w:left="480"/>
        <w:jc w:val="left"/>
      </w:pPr>
      <w:r>
        <w:rPr>
          <w:rFonts w:ascii="等线" w:hAnsi="等线"/>
          <w:b w:val="0"/>
          <w:sz w:val="21"/>
        </w:rPr>
        <w:t>◦ 采购可再生材料，如生物基塑料。</w:t>
      </w:r>
    </w:p>
    <w:p>
      <w:pPr>
        <w:ind w:left="480"/>
        <w:jc w:val="left"/>
      </w:pPr>
      <w:r>
        <w:rPr>
          <w:rFonts w:ascii="等线" w:hAnsi="等线"/>
          <w:b w:val="0"/>
          <w:sz w:val="21"/>
        </w:rPr>
        <w:t>◦ 预防和减少废弃物的产生：</w:t>
      </w:r>
    </w:p>
    <w:p>
      <w:pPr>
        <w:ind w:left="480"/>
        <w:jc w:val="left"/>
      </w:pPr>
      <w:r>
        <w:rPr>
          <w:rFonts w:ascii="等线" w:hAnsi="等线"/>
          <w:b w:val="0"/>
          <w:sz w:val="21"/>
        </w:rPr>
        <w:t>◦ 设计产品时考虑可拆卸性和可回收性。</w:t>
      </w:r>
    </w:p>
    <w:p>
      <w:pPr>
        <w:ind w:left="480"/>
        <w:jc w:val="left"/>
      </w:pPr>
      <w:r>
        <w:rPr>
          <w:rFonts w:ascii="等线" w:hAnsi="等线"/>
          <w:b w:val="0"/>
          <w:sz w:val="21"/>
        </w:rPr>
        <w:t>◦ 实施绿色采购政策，优先选择环保供应商。</w:t>
      </w:r>
    </w:p>
    <w:p>
      <w:pPr>
        <w:ind w:left="480"/>
        <w:jc w:val="left"/>
      </w:pPr>
      <w:r>
        <w:rPr>
          <w:rFonts w:ascii="等线" w:hAnsi="等线"/>
          <w:b w:val="0"/>
          <w:sz w:val="21"/>
        </w:rPr>
        <w:t>◦ 回收利用废弃物：</w:t>
      </w:r>
    </w:p>
    <w:p>
      <w:pPr>
        <w:ind w:left="480"/>
        <w:jc w:val="left"/>
      </w:pPr>
      <w:r>
        <w:rPr>
          <w:rFonts w:ascii="等线" w:hAnsi="等线"/>
          <w:b w:val="0"/>
          <w:sz w:val="21"/>
        </w:rPr>
        <w:t>◦ 建立废弃物回收中心，对废弃物进行分类和处理。</w:t>
      </w:r>
    </w:p>
    <w:p>
      <w:pPr>
        <w:ind w:left="480"/>
        <w:jc w:val="left"/>
      </w:pPr>
      <w:r>
        <w:rPr>
          <w:rFonts w:ascii="等线" w:hAnsi="等线"/>
          <w:b w:val="0"/>
          <w:sz w:val="21"/>
        </w:rPr>
        <w:t>◦ 与专业回收公司合作，确保废弃物得到妥善处置。</w:t>
      </w:r>
    </w:p>
    <w:p>
      <w:pPr>
        <w:jc w:val="left"/>
      </w:pPr>
      <w:r>
        <w:rPr>
          <w:rFonts w:ascii="等线" w:hAnsi="等线"/>
          <w:b w:val="0"/>
          <w:sz w:val="21"/>
        </w:rPr>
        <w:t>3. 报告期内公司在实现循环经济目标方面取得的具体进展及成效</w:t>
      </w:r>
    </w:p>
    <w:p>
      <w:pPr>
        <w:ind w:left="480"/>
        <w:jc w:val="left"/>
      </w:pPr>
      <w:r>
        <w:rPr>
          <w:rFonts w:ascii="等线" w:hAnsi="等线"/>
          <w:b w:val="0"/>
          <w:sz w:val="21"/>
        </w:rPr>
        <w:t>◦ 废弃物的回收及综合利用情况：</w:t>
      </w:r>
    </w:p>
    <w:p>
      <w:pPr>
        <w:ind w:left="480"/>
        <w:jc w:val="left"/>
      </w:pPr>
      <w:r>
        <w:rPr>
          <w:rFonts w:ascii="等线" w:hAnsi="等线"/>
          <w:b w:val="0"/>
          <w:sz w:val="21"/>
        </w:rPr>
        <w:t>◦ 废弃物循环利用量达到</w:t>
      </w:r>
      <w:r>
        <w:rPr>
          <w:rFonts w:ascii="等线" w:hAnsi="等线"/>
          <w:b w:val="0"/>
          <w:sz w:val="21"/>
          <w:highlight w:val="yellow"/>
        </w:rPr>
        <w:t>[X]</w:t>
      </w:r>
      <w:r>
        <w:rPr>
          <w:rFonts w:ascii="等线" w:hAnsi="等线"/>
          <w:b w:val="0"/>
          <w:sz w:val="21"/>
        </w:rPr>
        <w:t>吨，较上一年度增加了</w:t>
      </w:r>
      <w:r>
        <w:rPr>
          <w:rFonts w:ascii="等线" w:hAnsi="等线"/>
          <w:b w:val="0"/>
          <w:sz w:val="21"/>
          <w:highlight w:val="yellow"/>
        </w:rPr>
        <w:t>[X]</w:t>
      </w:r>
      <w:r>
        <w:rPr>
          <w:rFonts w:ascii="等线" w:hAnsi="等线"/>
          <w:b w:val="0"/>
          <w:sz w:val="21"/>
        </w:rPr>
        <w:t>%。</w:t>
      </w:r>
    </w:p>
    <w:p>
      <w:pPr>
        <w:ind w:left="480"/>
        <w:jc w:val="left"/>
      </w:pPr>
      <w:r>
        <w:rPr>
          <w:rFonts w:ascii="等线" w:hAnsi="等线"/>
          <w:b w:val="0"/>
          <w:sz w:val="21"/>
        </w:rPr>
        <w:t>◦ 废弃物综合利用率提高至</w:t>
      </w:r>
      <w:r>
        <w:rPr>
          <w:rFonts w:ascii="等线" w:hAnsi="等线"/>
          <w:b w:val="0"/>
          <w:sz w:val="21"/>
          <w:highlight w:val="yellow"/>
        </w:rPr>
        <w:t>[X]</w:t>
      </w:r>
      <w:r>
        <w:rPr>
          <w:rFonts w:ascii="等线" w:hAnsi="等线"/>
          <w:b w:val="0"/>
          <w:sz w:val="21"/>
        </w:rPr>
        <w:t>%。</w:t>
      </w:r>
    </w:p>
    <w:p>
      <w:pPr>
        <w:ind w:left="480"/>
        <w:jc w:val="left"/>
      </w:pPr>
      <w:r>
        <w:rPr>
          <w:rFonts w:ascii="等线" w:hAnsi="等线"/>
          <w:b w:val="0"/>
          <w:sz w:val="21"/>
        </w:rPr>
        <w:t>◦ 可再生资源消耗量及占相应资源总消耗量的比例：</w:t>
      </w:r>
    </w:p>
    <w:p>
      <w:pPr>
        <w:ind w:left="480"/>
        <w:jc w:val="left"/>
      </w:pPr>
      <w:r>
        <w:rPr>
          <w:rFonts w:ascii="等线" w:hAnsi="等线"/>
          <w:b w:val="0"/>
          <w:sz w:val="21"/>
        </w:rPr>
        <w:t>◦ 可再生资源消耗量为</w:t>
      </w:r>
      <w:r>
        <w:rPr>
          <w:rFonts w:ascii="等线" w:hAnsi="等线"/>
          <w:b w:val="0"/>
          <w:sz w:val="21"/>
          <w:highlight w:val="yellow"/>
        </w:rPr>
        <w:t>[X]</w:t>
      </w:r>
      <w:r>
        <w:rPr>
          <w:rFonts w:ascii="等线" w:hAnsi="等线"/>
          <w:b w:val="0"/>
          <w:sz w:val="21"/>
        </w:rPr>
        <w:t>兆瓦时，占总能源消耗量的</w:t>
      </w:r>
      <w:r>
        <w:rPr>
          <w:rFonts w:ascii="等线" w:hAnsi="等线"/>
          <w:b w:val="0"/>
          <w:sz w:val="21"/>
          <w:highlight w:val="yellow"/>
        </w:rPr>
        <w:t>[X]</w:t>
      </w:r>
      <w:r>
        <w:rPr>
          <w:rFonts w:ascii="等线" w:hAnsi="等线"/>
          <w:b w:val="0"/>
          <w:sz w:val="21"/>
        </w:rPr>
        <w:t>%。</w:t>
      </w:r>
    </w:p>
    <w:p>
      <w:pPr>
        <w:ind w:left="480"/>
        <w:jc w:val="left"/>
      </w:pPr>
      <w:r>
        <w:rPr>
          <w:rFonts w:ascii="等线" w:hAnsi="等线"/>
          <w:b w:val="0"/>
          <w:sz w:val="21"/>
        </w:rPr>
        <w:t>◦ 可再生材料的使用量增加了</w:t>
      </w:r>
      <w:r>
        <w:rPr>
          <w:rFonts w:ascii="等线" w:hAnsi="等线"/>
          <w:b w:val="0"/>
          <w:sz w:val="21"/>
          <w:highlight w:val="yellow"/>
        </w:rPr>
        <w:t>[X]</w:t>
      </w:r>
      <w:r>
        <w:rPr>
          <w:rFonts w:ascii="等线" w:hAnsi="等线"/>
          <w:b w:val="0"/>
          <w:sz w:val="21"/>
        </w:rPr>
        <w:t>%。</w:t>
      </w:r>
    </w:p>
    <w:p>
      <w:pPr>
        <w:jc w:val="left"/>
      </w:pPr>
      <w:r>
        <w:rPr>
          <w:rFonts w:ascii="等线" w:hAnsi="等线"/>
          <w:b w:val="0"/>
          <w:sz w:val="21"/>
        </w:rPr>
        <w:t>通过以上努力，我们在循环经济方面取得了显著进展。未来，我们将继续致力于减少环境影响，提高资源利用效率，为可持续发展做出更大贡献。</w:t>
      </w:r>
    </w:p>
    <w:p>
      <w:r>
        <w:br w:type="page"/>
      </w:r>
    </w:p>
    <w:p>
      <w:pPr>
        <w:pStyle w:val="Heading1"/>
      </w:pPr>
      <w:r>
        <w:rPr>
          <w:rFonts w:ascii="等线" w:hAnsi="等线" w:eastAsia="等线"/>
          <w:color w:val="000000"/>
          <w:sz w:val="44"/>
        </w:rPr>
        <w:t>社会</w:t>
      </w:r>
    </w:p>
    <w:p>
      <w:pPr>
        <w:pStyle w:val="Heading2"/>
      </w:pPr>
      <w:r>
        <w:rPr>
          <w:rFonts w:ascii="等线" w:hAnsi="等线" w:eastAsia="等线"/>
          <w:color w:val="000000"/>
          <w:sz w:val="32"/>
        </w:rPr>
        <w:t>乡村振兴</w:t>
      </w:r>
    </w:p>
    <w:p>
      <w:pPr>
        <w:jc w:val="left"/>
      </w:pPr>
      <w:r>
        <w:rPr>
          <w:rFonts w:ascii="等线" w:hAnsi="等线"/>
          <w:b w:val="0"/>
          <w:sz w:val="21"/>
        </w:rPr>
        <w:t>社会-乡村振兴</w:t>
      </w:r>
    </w:p>
    <w:p>
      <w:pPr>
        <w:jc w:val="left"/>
      </w:pPr>
      <w:r>
        <w:rPr>
          <w:rFonts w:ascii="等线" w:hAnsi="等线"/>
          <w:b w:val="0"/>
          <w:sz w:val="21"/>
        </w:rPr>
        <w:t>一、公司战略</w:t>
      </w:r>
    </w:p>
    <w:p>
      <w:pPr>
        <w:jc w:val="left"/>
      </w:pPr>
      <w:r>
        <w:rPr>
          <w:rFonts w:ascii="等线" w:hAnsi="等线"/>
          <w:b w:val="0"/>
          <w:sz w:val="21"/>
        </w:rPr>
        <w:t>我们公司一直致力于支持乡村振兴，并将其融入公司战略之中。我们认识到，乡村振兴是实现全面建设社会主义现代化国家的重要任务，也是企业履行社会责任的重要体现。因此，我们积极响应国家号召，结合公司业务特点，制定了一系列支持乡村振兴的战略和措施。</w:t>
      </w:r>
    </w:p>
    <w:p>
      <w:pPr>
        <w:jc w:val="left"/>
      </w:pPr>
      <w:r>
        <w:rPr>
          <w:rFonts w:ascii="等线" w:hAnsi="等线"/>
          <w:b w:val="0"/>
          <w:sz w:val="21"/>
        </w:rPr>
        <w:t>二、具体措施</w:t>
      </w:r>
    </w:p>
    <w:p>
      <w:pPr>
        <w:jc w:val="left"/>
      </w:pPr>
      <w:r>
        <w:rPr>
          <w:rFonts w:ascii="等线" w:hAnsi="等线"/>
          <w:b w:val="0"/>
          <w:sz w:val="21"/>
        </w:rPr>
        <w:t>1. 支持乡村特色产业发展</w:t>
      </w:r>
    </w:p>
    <w:p>
      <w:pPr>
        <w:ind w:left="480"/>
        <w:jc w:val="left"/>
      </w:pPr>
      <w:r>
        <w:rPr>
          <w:rFonts w:ascii="等线" w:hAnsi="等线"/>
          <w:b w:val="0"/>
          <w:sz w:val="21"/>
        </w:rPr>
        <w:t>◦ 产业扶持：我们通过与当地政府和企业合作，共同投资建设了多个乡村特色产业项目，如农产品加工、农村电商等，为当地农民提供了更多的就业机会和增收渠道。</w:t>
      </w:r>
    </w:p>
    <w:p>
      <w:pPr>
        <w:ind w:left="480"/>
        <w:jc w:val="left"/>
      </w:pPr>
      <w:r>
        <w:rPr>
          <w:rFonts w:ascii="等线" w:hAnsi="等线"/>
          <w:b w:val="0"/>
          <w:sz w:val="21"/>
        </w:rPr>
        <w:t>◦ 技术支持：我们还积极开展农业技术培训和推广活动，为当地农民提供农业技术支持和服务，帮助他们提高农业生产效率和质量。</w:t>
      </w:r>
    </w:p>
    <w:p>
      <w:pPr>
        <w:ind w:left="480"/>
        <w:jc w:val="left"/>
      </w:pPr>
      <w:r>
        <w:rPr>
          <w:rFonts w:ascii="等线" w:hAnsi="等线"/>
          <w:b w:val="0"/>
          <w:sz w:val="21"/>
        </w:rPr>
        <w:t>◦ 市场拓展：我们通过与国内外企业合作，共同开拓市场，为当地农产品提供了更广阔的销售渠道，促进了当地农业产业的发展。</w:t>
      </w:r>
    </w:p>
    <w:p>
      <w:pPr>
        <w:jc w:val="left"/>
      </w:pPr>
      <w:r>
        <w:rPr>
          <w:rFonts w:ascii="等线" w:hAnsi="等线"/>
          <w:b w:val="0"/>
          <w:sz w:val="21"/>
        </w:rPr>
        <w:t>2. 支持当地就业</w:t>
      </w:r>
    </w:p>
    <w:p>
      <w:pPr>
        <w:ind w:left="480"/>
        <w:jc w:val="left"/>
      </w:pPr>
      <w:r>
        <w:rPr>
          <w:rFonts w:ascii="等线" w:hAnsi="等线"/>
          <w:b w:val="0"/>
          <w:sz w:val="21"/>
        </w:rPr>
        <w:t>◦ 招聘当地员工：我们在乡村和脱贫地区设立了多个生产基地和分支机构，优先招聘当地农民和贫困人口就业，为他们提供了稳定的工作和收入。</w:t>
      </w:r>
    </w:p>
    <w:p>
      <w:pPr>
        <w:ind w:left="480"/>
        <w:jc w:val="left"/>
      </w:pPr>
      <w:r>
        <w:rPr>
          <w:rFonts w:ascii="等线" w:hAnsi="等线"/>
          <w:b w:val="0"/>
          <w:sz w:val="21"/>
        </w:rPr>
        <w:t>◦ 职业培训：我们还为当地员工提供了职业培训和技能提升机会，帮助他们提高职业技能和综合素质，为他们的职业发展打下了坚实的基础。</w:t>
      </w:r>
    </w:p>
    <w:p>
      <w:pPr>
        <w:ind w:left="480"/>
        <w:jc w:val="left"/>
      </w:pPr>
      <w:r>
        <w:rPr>
          <w:rFonts w:ascii="等线" w:hAnsi="等线"/>
          <w:b w:val="0"/>
          <w:sz w:val="21"/>
        </w:rPr>
        <w:t>◦ 创业支持：我们积极鼓励当地员工自主创业，并为他们提供创业培训和资金支持，帮助他们实现创业梦想。</w:t>
      </w:r>
    </w:p>
    <w:p>
      <w:pPr>
        <w:jc w:val="left"/>
      </w:pPr>
      <w:r>
        <w:rPr>
          <w:rFonts w:ascii="等线" w:hAnsi="等线"/>
          <w:b w:val="0"/>
          <w:sz w:val="21"/>
        </w:rPr>
        <w:t>3. 其他支持乡村振兴工作的具体措施</w:t>
      </w:r>
    </w:p>
    <w:p>
      <w:pPr>
        <w:ind w:left="480"/>
        <w:jc w:val="left"/>
      </w:pPr>
      <w:r>
        <w:rPr>
          <w:rFonts w:ascii="等线" w:hAnsi="等线"/>
          <w:b w:val="0"/>
          <w:sz w:val="21"/>
        </w:rPr>
        <w:t>◦ 基础设施建设：我们积极参与乡村基础设施建设，如道路、桥梁、水利等，为当地农民提供了更好的生产生活条件。</w:t>
      </w:r>
    </w:p>
    <w:p>
      <w:pPr>
        <w:ind w:left="480"/>
        <w:jc w:val="left"/>
      </w:pPr>
      <w:r>
        <w:rPr>
          <w:rFonts w:ascii="等线" w:hAnsi="等线"/>
          <w:b w:val="0"/>
          <w:sz w:val="21"/>
        </w:rPr>
        <w:t>◦ 教育支持：我们还开展了教育扶贫活动，为当地贫困学生提供了助学金和学习用品，帮助他们完成学业。</w:t>
      </w:r>
    </w:p>
    <w:p>
      <w:pPr>
        <w:ind w:left="480"/>
        <w:jc w:val="left"/>
      </w:pPr>
      <w:r>
        <w:rPr>
          <w:rFonts w:ascii="等线" w:hAnsi="等线"/>
          <w:b w:val="0"/>
          <w:sz w:val="21"/>
        </w:rPr>
        <w:t>◦ 文化建设：我们积极参与乡村文化建设，如举办文化活动、建设文化设施等，丰富了当地农民的文化生活。</w:t>
      </w:r>
    </w:p>
    <w:p>
      <w:pPr>
        <w:jc w:val="left"/>
      </w:pPr>
      <w:r>
        <w:rPr>
          <w:rFonts w:ascii="等线" w:hAnsi="等线"/>
          <w:b w:val="0"/>
          <w:sz w:val="21"/>
        </w:rPr>
        <w:t>三、工作成果</w:t>
      </w:r>
    </w:p>
    <w:p>
      <w:pPr>
        <w:jc w:val="left"/>
      </w:pPr>
      <w:r>
        <w:rPr>
          <w:rFonts w:ascii="等线" w:hAnsi="等线"/>
          <w:b w:val="0"/>
          <w:sz w:val="21"/>
        </w:rPr>
        <w:t>1. 总投入金额</w:t>
      </w:r>
    </w:p>
    <w:p>
      <w:pPr>
        <w:ind w:left="480"/>
        <w:jc w:val="left"/>
      </w:pPr>
      <w:r>
        <w:rPr>
          <w:rFonts w:ascii="等线" w:hAnsi="等线"/>
          <w:b w:val="0"/>
          <w:sz w:val="21"/>
        </w:rPr>
        <w:t>◦ 报告期内，我们公司在乡村振兴方面的总投入金额为</w:t>
      </w:r>
      <w:r>
        <w:rPr>
          <w:rFonts w:ascii="等线" w:hAnsi="等线"/>
          <w:b w:val="0"/>
          <w:sz w:val="21"/>
          <w:highlight w:val="yellow"/>
        </w:rPr>
        <w:t>[X]</w:t>
      </w:r>
      <w:r>
        <w:rPr>
          <w:rFonts w:ascii="等线" w:hAnsi="等线"/>
          <w:b w:val="0"/>
          <w:sz w:val="21"/>
        </w:rPr>
        <w:t>万元，其中产业扶持投入</w:t>
      </w:r>
      <w:r>
        <w:rPr>
          <w:rFonts w:ascii="等线" w:hAnsi="等线"/>
          <w:b w:val="0"/>
          <w:sz w:val="21"/>
          <w:highlight w:val="yellow"/>
        </w:rPr>
        <w:t>[X]</w:t>
      </w:r>
      <w:r>
        <w:rPr>
          <w:rFonts w:ascii="等线" w:hAnsi="等线"/>
          <w:b w:val="0"/>
          <w:sz w:val="21"/>
        </w:rPr>
        <w:t>万元，支持当地就业投入</w:t>
      </w:r>
      <w:r>
        <w:rPr>
          <w:rFonts w:ascii="等线" w:hAnsi="等线"/>
          <w:b w:val="0"/>
          <w:sz w:val="21"/>
          <w:highlight w:val="yellow"/>
        </w:rPr>
        <w:t>[X]</w:t>
      </w:r>
      <w:r>
        <w:rPr>
          <w:rFonts w:ascii="等线" w:hAnsi="等线"/>
          <w:b w:val="0"/>
          <w:sz w:val="21"/>
        </w:rPr>
        <w:t>万元，其他支持乡村振兴工作投入</w:t>
      </w:r>
      <w:r>
        <w:rPr>
          <w:rFonts w:ascii="等线" w:hAnsi="等线"/>
          <w:b w:val="0"/>
          <w:sz w:val="21"/>
          <w:highlight w:val="yellow"/>
        </w:rPr>
        <w:t>[X]</w:t>
      </w:r>
      <w:r>
        <w:rPr>
          <w:rFonts w:ascii="等线" w:hAnsi="等线"/>
          <w:b w:val="0"/>
          <w:sz w:val="21"/>
        </w:rPr>
        <w:t>万元。</w:t>
      </w:r>
    </w:p>
    <w:p>
      <w:pPr>
        <w:jc w:val="left"/>
      </w:pPr>
      <w:r>
        <w:rPr>
          <w:rFonts w:ascii="等线" w:hAnsi="等线"/>
          <w:b w:val="0"/>
          <w:sz w:val="21"/>
        </w:rPr>
        <w:t>2. 惠及群体范围及数量</w:t>
      </w:r>
    </w:p>
    <w:p>
      <w:pPr>
        <w:ind w:left="480"/>
        <w:jc w:val="left"/>
      </w:pPr>
      <w:r>
        <w:rPr>
          <w:rFonts w:ascii="等线" w:hAnsi="等线"/>
          <w:b w:val="0"/>
          <w:sz w:val="21"/>
        </w:rPr>
        <w:t>◦ 我们公司的支持乡村振兴工作惠及了</w:t>
      </w:r>
      <w:r>
        <w:rPr>
          <w:rFonts w:ascii="等线" w:hAnsi="等线"/>
          <w:b w:val="0"/>
          <w:sz w:val="21"/>
          <w:highlight w:val="yellow"/>
        </w:rPr>
        <w:t>[X]</w:t>
      </w:r>
      <w:r>
        <w:rPr>
          <w:rFonts w:ascii="等线" w:hAnsi="等线"/>
          <w:b w:val="0"/>
          <w:sz w:val="21"/>
        </w:rPr>
        <w:t>个乡村和脱贫地区，受益人口达到了</w:t>
      </w:r>
      <w:r>
        <w:rPr>
          <w:rFonts w:ascii="等线" w:hAnsi="等线"/>
          <w:b w:val="0"/>
          <w:sz w:val="21"/>
          <w:highlight w:val="yellow"/>
        </w:rPr>
        <w:t>[X]</w:t>
      </w:r>
      <w:r>
        <w:rPr>
          <w:rFonts w:ascii="等线" w:hAnsi="等线"/>
          <w:b w:val="0"/>
          <w:sz w:val="21"/>
        </w:rPr>
        <w:t>万人。</w:t>
      </w:r>
    </w:p>
    <w:p>
      <w:pPr>
        <w:jc w:val="left"/>
      </w:pPr>
      <w:r>
        <w:rPr>
          <w:rFonts w:ascii="等线" w:hAnsi="等线"/>
          <w:b w:val="0"/>
          <w:sz w:val="21"/>
        </w:rPr>
        <w:t>3. 对公司品牌和业务开展的影响</w:t>
      </w:r>
    </w:p>
    <w:p>
      <w:pPr>
        <w:ind w:left="480"/>
        <w:jc w:val="left"/>
      </w:pPr>
      <w:r>
        <w:rPr>
          <w:rFonts w:ascii="等线" w:hAnsi="等线"/>
          <w:b w:val="0"/>
          <w:sz w:val="21"/>
        </w:rPr>
        <w:t>◦ 通过支持乡村振兴工作，我们公司的品牌形象得到了进一步提升，赢得了社会各界的广泛赞誉和认可。</w:t>
      </w:r>
    </w:p>
    <w:p>
      <w:pPr>
        <w:ind w:left="480"/>
        <w:jc w:val="left"/>
      </w:pPr>
      <w:r>
        <w:rPr>
          <w:rFonts w:ascii="等线" w:hAnsi="等线"/>
          <w:b w:val="0"/>
          <w:sz w:val="21"/>
        </w:rPr>
        <w:t>◦ 同时，我们公司的业务也得到了进一步拓展，与当地政府和企业建立了更加紧密的合作关系，为公司的可持续发展奠定了坚实的基础。</w:t>
      </w:r>
    </w:p>
    <w:p>
      <w:pPr>
        <w:jc w:val="left"/>
      </w:pPr>
      <w:r>
        <w:rPr>
          <w:rFonts w:ascii="等线" w:hAnsi="等线"/>
          <w:b w:val="0"/>
          <w:sz w:val="21"/>
        </w:rPr>
        <w:t>四、未来展望</w:t>
      </w:r>
    </w:p>
    <w:p>
      <w:pPr>
        <w:jc w:val="left"/>
      </w:pPr>
      <w:r>
        <w:rPr>
          <w:rFonts w:ascii="等线" w:hAnsi="等线"/>
          <w:b w:val="0"/>
          <w:sz w:val="21"/>
        </w:rPr>
        <w:t>未来，我们公司将继续加大对乡村振兴工作的支持力度，不断完善支持乡村振兴的战略和措施，为实现乡村振兴战略目标做出更大的贡献。同时，我们也希望更多的企业能够加入到支持乡村振兴的行列中来，共同推动乡村振兴事业的发展。</w:t>
      </w:r>
    </w:p>
    <w:p>
      <w:pPr>
        <w:pStyle w:val="Heading2"/>
      </w:pPr>
      <w:r>
        <w:rPr>
          <w:rFonts w:ascii="等线" w:hAnsi="等线" w:eastAsia="等线"/>
          <w:color w:val="000000"/>
          <w:sz w:val="32"/>
        </w:rPr>
        <w:t>社会贡献</w:t>
      </w:r>
    </w:p>
    <w:p>
      <w:pPr>
        <w:jc w:val="left"/>
      </w:pPr>
      <w:r>
        <w:rPr>
          <w:rFonts w:ascii="等线" w:hAnsi="等线"/>
          <w:b w:val="0"/>
          <w:sz w:val="21"/>
        </w:rPr>
        <w:t>以下是一个面向国际市场的大型民营汽车零部件企业 ESG 报告中社会-社会贡献的内容模板：</w:t>
      </w:r>
    </w:p>
    <w:p>
      <w:pPr>
        <w:jc w:val="left"/>
      </w:pPr>
      <w:r>
        <w:rPr>
          <w:rFonts w:ascii="等线" w:hAnsi="等线"/>
          <w:b w:val="0"/>
          <w:sz w:val="21"/>
        </w:rPr>
        <w:t>社会贡献</w:t>
      </w:r>
    </w:p>
    <w:p>
      <w:pPr>
        <w:jc w:val="left"/>
      </w:pPr>
      <w:r>
        <w:rPr>
          <w:rFonts w:ascii="等线" w:hAnsi="等线"/>
          <w:b w:val="0"/>
          <w:sz w:val="21"/>
        </w:rPr>
        <w:t>在报告期内，我们致力于为公众和社会做出积极贡献，通过开展公益慈善和志愿活动，履行企业社会责任。以下是我们在这方面的具体情况：</w:t>
      </w:r>
    </w:p>
    <w:p>
      <w:pPr>
        <w:jc w:val="left"/>
      </w:pPr>
      <w:r>
        <w:rPr>
          <w:rFonts w:ascii="等线" w:hAnsi="等线"/>
          <w:b w:val="0"/>
          <w:sz w:val="21"/>
        </w:rPr>
        <w:t>公益慈善活动</w:t>
      </w:r>
    </w:p>
    <w:p>
      <w:pPr>
        <w:jc w:val="left"/>
      </w:pPr>
      <w:r>
        <w:rPr>
          <w:rFonts w:ascii="等线" w:hAnsi="等线"/>
          <w:b w:val="0"/>
          <w:sz w:val="21"/>
        </w:rPr>
        <w:t>1. 教育支持：我们向当地学校捐赠了教育设备和图书，改善了教学条件。此外，我们还设立了奖学金，资助优秀学生完成学业。</w:t>
      </w:r>
    </w:p>
    <w:p>
      <w:pPr>
        <w:ind w:left="480"/>
        <w:jc w:val="left"/>
      </w:pPr>
      <w:r>
        <w:rPr>
          <w:rFonts w:ascii="等线" w:hAnsi="等线"/>
          <w:b w:val="0"/>
          <w:sz w:val="21"/>
        </w:rPr>
        <w:t>◦ 捐赠金额：</w:t>
      </w:r>
      <w:r>
        <w:rPr>
          <w:rFonts w:ascii="等线" w:hAnsi="等线"/>
          <w:b w:val="0"/>
          <w:sz w:val="21"/>
          <w:highlight w:val="yellow"/>
        </w:rPr>
        <w:t>[具体金额]</w:t>
      </w:r>
      <w:r>
        <w:rPr>
          <w:rFonts w:ascii="等线" w:hAnsi="等线"/>
          <w:b w:val="0"/>
          <w:sz w:val="21"/>
        </w:rPr>
      </w:r>
    </w:p>
    <w:p>
      <w:pPr>
        <w:ind w:left="480"/>
        <w:jc w:val="left"/>
      </w:pPr>
      <w:r>
        <w:rPr>
          <w:rFonts w:ascii="等线" w:hAnsi="等线"/>
          <w:b w:val="0"/>
          <w:sz w:val="21"/>
        </w:rPr>
        <w:t>◦ 受益学生人数：</w:t>
      </w:r>
      <w:r>
        <w:rPr>
          <w:rFonts w:ascii="等线" w:hAnsi="等线"/>
          <w:b w:val="0"/>
          <w:sz w:val="21"/>
          <w:highlight w:val="yellow"/>
        </w:rPr>
        <w:t>[具体人数]</w:t>
      </w:r>
      <w:r>
        <w:rPr>
          <w:rFonts w:ascii="等线" w:hAnsi="等线"/>
          <w:b w:val="0"/>
          <w:sz w:val="21"/>
        </w:rPr>
      </w:r>
    </w:p>
    <w:p>
      <w:pPr>
        <w:jc w:val="left"/>
      </w:pPr>
      <w:r>
        <w:rPr>
          <w:rFonts w:ascii="等线" w:hAnsi="等线"/>
          <w:b w:val="0"/>
          <w:sz w:val="21"/>
        </w:rPr>
        <w:t>2. 医疗援助：我们向医疗机构捐赠了医疗设备和物资，提高了医疗服务水平。同时，我们还组织了医疗志愿者团队，为贫困地区提供免费医疗服务。</w:t>
      </w:r>
    </w:p>
    <w:p>
      <w:pPr>
        <w:ind w:left="480"/>
        <w:jc w:val="left"/>
      </w:pPr>
      <w:r>
        <w:rPr>
          <w:rFonts w:ascii="等线" w:hAnsi="等线"/>
          <w:b w:val="0"/>
          <w:sz w:val="21"/>
        </w:rPr>
        <w:t>◦ 捐赠金额：</w:t>
      </w:r>
      <w:r>
        <w:rPr>
          <w:rFonts w:ascii="等线" w:hAnsi="等线"/>
          <w:b w:val="0"/>
          <w:sz w:val="21"/>
          <w:highlight w:val="yellow"/>
        </w:rPr>
        <w:t>[具体金额]</w:t>
      </w:r>
      <w:r>
        <w:rPr>
          <w:rFonts w:ascii="等线" w:hAnsi="等线"/>
          <w:b w:val="0"/>
          <w:sz w:val="21"/>
        </w:rPr>
      </w:r>
    </w:p>
    <w:p>
      <w:pPr>
        <w:ind w:left="480"/>
        <w:jc w:val="left"/>
      </w:pPr>
      <w:r>
        <w:rPr>
          <w:rFonts w:ascii="等线" w:hAnsi="等线"/>
          <w:b w:val="0"/>
          <w:sz w:val="21"/>
        </w:rPr>
        <w:t>◦ 受益人数：</w:t>
      </w:r>
      <w:r>
        <w:rPr>
          <w:rFonts w:ascii="等线" w:hAnsi="等线"/>
          <w:b w:val="0"/>
          <w:sz w:val="21"/>
          <w:highlight w:val="yellow"/>
        </w:rPr>
        <w:t>[具体人数]</w:t>
      </w:r>
      <w:r>
        <w:rPr>
          <w:rFonts w:ascii="等线" w:hAnsi="等线"/>
          <w:b w:val="0"/>
          <w:sz w:val="21"/>
        </w:rPr>
      </w:r>
    </w:p>
    <w:p>
      <w:pPr>
        <w:jc w:val="left"/>
      </w:pPr>
      <w:r>
        <w:rPr>
          <w:rFonts w:ascii="等线" w:hAnsi="等线"/>
          <w:b w:val="0"/>
          <w:sz w:val="21"/>
        </w:rPr>
        <w:t>3. 扶贫帮困：我们积极参与扶贫工作，通过产业扶贫、就业扶贫等方式，帮助贫困地区脱贫致富。</w:t>
      </w:r>
    </w:p>
    <w:p>
      <w:pPr>
        <w:ind w:left="480"/>
        <w:jc w:val="left"/>
      </w:pPr>
      <w:r>
        <w:rPr>
          <w:rFonts w:ascii="等线" w:hAnsi="等线"/>
          <w:b w:val="0"/>
          <w:sz w:val="21"/>
        </w:rPr>
        <w:t>◦ 投入资金：</w:t>
      </w:r>
      <w:r>
        <w:rPr>
          <w:rFonts w:ascii="等线" w:hAnsi="等线"/>
          <w:b w:val="0"/>
          <w:sz w:val="21"/>
          <w:highlight w:val="yellow"/>
        </w:rPr>
        <w:t>[具体金额]</w:t>
      </w:r>
      <w:r>
        <w:rPr>
          <w:rFonts w:ascii="等线" w:hAnsi="等线"/>
          <w:b w:val="0"/>
          <w:sz w:val="21"/>
        </w:rPr>
      </w:r>
    </w:p>
    <w:p>
      <w:pPr>
        <w:ind w:left="480"/>
        <w:jc w:val="left"/>
      </w:pPr>
      <w:r>
        <w:rPr>
          <w:rFonts w:ascii="等线" w:hAnsi="等线"/>
          <w:b w:val="0"/>
          <w:sz w:val="21"/>
        </w:rPr>
        <w:t>◦ 受益人数：</w:t>
      </w:r>
      <w:r>
        <w:rPr>
          <w:rFonts w:ascii="等线" w:hAnsi="等线"/>
          <w:b w:val="0"/>
          <w:sz w:val="21"/>
          <w:highlight w:val="yellow"/>
        </w:rPr>
        <w:t>[具体人数]</w:t>
      </w:r>
      <w:r>
        <w:rPr>
          <w:rFonts w:ascii="等线" w:hAnsi="等线"/>
          <w:b w:val="0"/>
          <w:sz w:val="21"/>
        </w:rPr>
      </w:r>
    </w:p>
    <w:p>
      <w:pPr>
        <w:jc w:val="left"/>
      </w:pPr>
      <w:r>
        <w:rPr>
          <w:rFonts w:ascii="等线" w:hAnsi="等线"/>
          <w:b w:val="0"/>
          <w:sz w:val="21"/>
        </w:rPr>
        <w:t>4. 环境保护：我们关注环境保护，积极参与环保公益活动，如植树造林、垃圾分类宣传等。</w:t>
      </w:r>
    </w:p>
    <w:p>
      <w:pPr>
        <w:ind w:left="480"/>
        <w:jc w:val="left"/>
      </w:pPr>
      <w:r>
        <w:rPr>
          <w:rFonts w:ascii="等线" w:hAnsi="等线"/>
          <w:b w:val="0"/>
          <w:sz w:val="21"/>
        </w:rPr>
        <w:t>◦ 参与人数：</w:t>
      </w:r>
      <w:r>
        <w:rPr>
          <w:rFonts w:ascii="等线" w:hAnsi="等线"/>
          <w:b w:val="0"/>
          <w:sz w:val="21"/>
          <w:highlight w:val="yellow"/>
        </w:rPr>
        <w:t>[具体人数]</w:t>
      </w:r>
      <w:r>
        <w:rPr>
          <w:rFonts w:ascii="等线" w:hAnsi="等线"/>
          <w:b w:val="0"/>
          <w:sz w:val="21"/>
        </w:rPr>
      </w:r>
    </w:p>
    <w:p>
      <w:pPr>
        <w:ind w:left="480"/>
        <w:jc w:val="left"/>
      </w:pPr>
      <w:r>
        <w:rPr>
          <w:rFonts w:ascii="等线" w:hAnsi="等线"/>
          <w:b w:val="0"/>
          <w:sz w:val="21"/>
        </w:rPr>
        <w:t>◦ 植树数量：</w:t>
      </w:r>
      <w:r>
        <w:rPr>
          <w:rFonts w:ascii="等线" w:hAnsi="等线"/>
          <w:b w:val="0"/>
          <w:sz w:val="21"/>
          <w:highlight w:val="yellow"/>
        </w:rPr>
        <w:t>[具体数量]</w:t>
      </w:r>
      <w:r>
        <w:rPr>
          <w:rFonts w:ascii="等线" w:hAnsi="等线"/>
          <w:b w:val="0"/>
          <w:sz w:val="21"/>
        </w:rPr>
      </w:r>
    </w:p>
    <w:p>
      <w:pPr>
        <w:jc w:val="left"/>
      </w:pPr>
      <w:r>
        <w:rPr>
          <w:rFonts w:ascii="等线" w:hAnsi="等线"/>
          <w:b w:val="0"/>
          <w:sz w:val="21"/>
        </w:rPr>
        <w:t>志愿活动</w:t>
      </w:r>
    </w:p>
    <w:p>
      <w:pPr>
        <w:jc w:val="left"/>
      </w:pPr>
      <w:r>
        <w:rPr>
          <w:rFonts w:ascii="等线" w:hAnsi="等线"/>
          <w:b w:val="0"/>
          <w:sz w:val="21"/>
        </w:rPr>
        <w:t>1. 社区服务：我们组织员工参与社区服务活动，如义务劳动、关爱老人等，为社区居民提供帮助。</w:t>
      </w:r>
    </w:p>
    <w:p>
      <w:pPr>
        <w:ind w:left="480"/>
        <w:jc w:val="left"/>
      </w:pPr>
      <w:r>
        <w:rPr>
          <w:rFonts w:ascii="等线" w:hAnsi="等线"/>
          <w:b w:val="0"/>
          <w:sz w:val="21"/>
        </w:rPr>
        <w:t>◦ 参与人数：</w:t>
      </w:r>
      <w:r>
        <w:rPr>
          <w:rFonts w:ascii="等线" w:hAnsi="等线"/>
          <w:b w:val="0"/>
          <w:sz w:val="21"/>
          <w:highlight w:val="yellow"/>
        </w:rPr>
        <w:t>[具体人数]</w:t>
      </w:r>
      <w:r>
        <w:rPr>
          <w:rFonts w:ascii="等线" w:hAnsi="等线"/>
          <w:b w:val="0"/>
          <w:sz w:val="21"/>
        </w:rPr>
      </w:r>
    </w:p>
    <w:p>
      <w:pPr>
        <w:ind w:left="480"/>
        <w:jc w:val="left"/>
      </w:pPr>
      <w:r>
        <w:rPr>
          <w:rFonts w:ascii="等线" w:hAnsi="等线"/>
          <w:b w:val="0"/>
          <w:sz w:val="21"/>
        </w:rPr>
        <w:t>◦ 服务时长：</w:t>
      </w:r>
      <w:r>
        <w:rPr>
          <w:rFonts w:ascii="等线" w:hAnsi="等线"/>
          <w:b w:val="0"/>
          <w:sz w:val="21"/>
          <w:highlight w:val="yellow"/>
        </w:rPr>
        <w:t>[具体时长]</w:t>
      </w:r>
      <w:r>
        <w:rPr>
          <w:rFonts w:ascii="等线" w:hAnsi="等线"/>
          <w:b w:val="0"/>
          <w:sz w:val="21"/>
        </w:rPr>
      </w:r>
    </w:p>
    <w:p>
      <w:pPr>
        <w:jc w:val="left"/>
      </w:pPr>
      <w:r>
        <w:rPr>
          <w:rFonts w:ascii="等线" w:hAnsi="等线"/>
          <w:b w:val="0"/>
          <w:sz w:val="21"/>
        </w:rPr>
        <w:t>2. 文化传承：我们支持文化传承活动，如传统文化展览、文化讲座等，促进文化交流和传承。</w:t>
      </w:r>
    </w:p>
    <w:p>
      <w:pPr>
        <w:ind w:left="480"/>
        <w:jc w:val="left"/>
      </w:pPr>
      <w:r>
        <w:rPr>
          <w:rFonts w:ascii="等线" w:hAnsi="等线"/>
          <w:b w:val="0"/>
          <w:sz w:val="21"/>
        </w:rPr>
        <w:t>◦ 参与人数：</w:t>
      </w:r>
      <w:r>
        <w:rPr>
          <w:rFonts w:ascii="等线" w:hAnsi="等线"/>
          <w:b w:val="0"/>
          <w:sz w:val="21"/>
          <w:highlight w:val="yellow"/>
        </w:rPr>
        <w:t>[具体人数]</w:t>
      </w:r>
      <w:r>
        <w:rPr>
          <w:rFonts w:ascii="等线" w:hAnsi="等线"/>
          <w:b w:val="0"/>
          <w:sz w:val="21"/>
        </w:rPr>
      </w:r>
    </w:p>
    <w:p>
      <w:pPr>
        <w:ind w:left="480"/>
        <w:jc w:val="left"/>
      </w:pPr>
      <w:r>
        <w:rPr>
          <w:rFonts w:ascii="等线" w:hAnsi="等线"/>
          <w:b w:val="0"/>
          <w:sz w:val="21"/>
        </w:rPr>
        <w:t>◦ 活动场次：</w:t>
      </w:r>
      <w:r>
        <w:rPr>
          <w:rFonts w:ascii="等线" w:hAnsi="等线"/>
          <w:b w:val="0"/>
          <w:sz w:val="21"/>
          <w:highlight w:val="yellow"/>
        </w:rPr>
        <w:t>[具体场次]</w:t>
      </w:r>
      <w:r>
        <w:rPr>
          <w:rFonts w:ascii="等线" w:hAnsi="等线"/>
          <w:b w:val="0"/>
          <w:sz w:val="21"/>
        </w:rPr>
      </w:r>
    </w:p>
    <w:p>
      <w:pPr>
        <w:jc w:val="left"/>
      </w:pPr>
      <w:r>
        <w:rPr>
          <w:rFonts w:ascii="等线" w:hAnsi="等线"/>
          <w:b w:val="0"/>
          <w:sz w:val="21"/>
        </w:rPr>
        <w:t>3. 应急救援：我们成立了应急救援志愿者队伍，参与自然灾害和突发事件的救援工作。</w:t>
      </w:r>
    </w:p>
    <w:p>
      <w:pPr>
        <w:ind w:left="480"/>
        <w:jc w:val="left"/>
      </w:pPr>
      <w:r>
        <w:rPr>
          <w:rFonts w:ascii="等线" w:hAnsi="等线"/>
          <w:b w:val="0"/>
          <w:sz w:val="21"/>
        </w:rPr>
        <w:t>◦ 参与人数：</w:t>
      </w:r>
      <w:r>
        <w:rPr>
          <w:rFonts w:ascii="等线" w:hAnsi="等线"/>
          <w:b w:val="0"/>
          <w:sz w:val="21"/>
          <w:highlight w:val="yellow"/>
        </w:rPr>
        <w:t>[具体人数]</w:t>
      </w:r>
      <w:r>
        <w:rPr>
          <w:rFonts w:ascii="等线" w:hAnsi="等线"/>
          <w:b w:val="0"/>
          <w:sz w:val="21"/>
        </w:rPr>
      </w:r>
    </w:p>
    <w:p>
      <w:pPr>
        <w:ind w:left="480"/>
        <w:jc w:val="left"/>
      </w:pPr>
      <w:r>
        <w:rPr>
          <w:rFonts w:ascii="等线" w:hAnsi="等线"/>
          <w:b w:val="0"/>
          <w:sz w:val="21"/>
        </w:rPr>
        <w:t>◦ 救援次数：</w:t>
      </w:r>
      <w:r>
        <w:rPr>
          <w:rFonts w:ascii="等线" w:hAnsi="等线"/>
          <w:b w:val="0"/>
          <w:sz w:val="21"/>
          <w:highlight w:val="yellow"/>
        </w:rPr>
        <w:t>[具体次数]</w:t>
      </w:r>
      <w:r>
        <w:rPr>
          <w:rFonts w:ascii="等线" w:hAnsi="等线"/>
          <w:b w:val="0"/>
          <w:sz w:val="21"/>
        </w:rPr>
      </w:r>
    </w:p>
    <w:p>
      <w:pPr>
        <w:jc w:val="left"/>
      </w:pPr>
      <w:r>
        <w:rPr>
          <w:rFonts w:ascii="等线" w:hAnsi="等线"/>
          <w:b w:val="0"/>
          <w:sz w:val="21"/>
        </w:rPr>
        <w:t>投入资金金额、人员、时间</w:t>
      </w:r>
    </w:p>
    <w:p>
      <w:pPr>
        <w:jc w:val="left"/>
      </w:pPr>
      <w:r>
        <w:rPr>
          <w:rFonts w:ascii="等线" w:hAnsi="等线"/>
          <w:b w:val="0"/>
          <w:sz w:val="21"/>
        </w:rPr>
        <w:t>1. 资金投入：我们在公益慈善和志愿活动方面的总投入为</w:t>
      </w:r>
      <w:r>
        <w:rPr>
          <w:rFonts w:ascii="等线" w:hAnsi="等线"/>
          <w:b w:val="0"/>
          <w:sz w:val="21"/>
          <w:highlight w:val="yellow"/>
        </w:rPr>
        <w:t>[具体金额]</w:t>
      </w:r>
      <w:r>
        <w:rPr>
          <w:rFonts w:ascii="等线" w:hAnsi="等线"/>
          <w:b w:val="0"/>
          <w:sz w:val="21"/>
        </w:rPr>
        <w:t>，其中教育支持投入</w:t>
      </w:r>
      <w:r>
        <w:rPr>
          <w:rFonts w:ascii="等线" w:hAnsi="等线"/>
          <w:b w:val="0"/>
          <w:sz w:val="21"/>
          <w:highlight w:val="yellow"/>
        </w:rPr>
        <w:t>[具体金额]</w:t>
      </w:r>
      <w:r>
        <w:rPr>
          <w:rFonts w:ascii="等线" w:hAnsi="等线"/>
          <w:b w:val="0"/>
          <w:sz w:val="21"/>
        </w:rPr>
        <w:t>，医疗援助投入</w:t>
      </w:r>
      <w:r>
        <w:rPr>
          <w:rFonts w:ascii="等线" w:hAnsi="等线"/>
          <w:b w:val="0"/>
          <w:sz w:val="21"/>
          <w:highlight w:val="yellow"/>
        </w:rPr>
        <w:t>[具体金额]</w:t>
      </w:r>
      <w:r>
        <w:rPr>
          <w:rFonts w:ascii="等线" w:hAnsi="等线"/>
          <w:b w:val="0"/>
          <w:sz w:val="21"/>
        </w:rPr>
        <w:t>，扶贫帮困投入</w:t>
      </w:r>
      <w:r>
        <w:rPr>
          <w:rFonts w:ascii="等线" w:hAnsi="等线"/>
          <w:b w:val="0"/>
          <w:sz w:val="21"/>
          <w:highlight w:val="yellow"/>
        </w:rPr>
        <w:t>[具体金额]</w:t>
      </w:r>
      <w:r>
        <w:rPr>
          <w:rFonts w:ascii="等线" w:hAnsi="等线"/>
          <w:b w:val="0"/>
          <w:sz w:val="21"/>
        </w:rPr>
        <w:t>，环境保护投入</w:t>
      </w:r>
      <w:r>
        <w:rPr>
          <w:rFonts w:ascii="等线" w:hAnsi="等线"/>
          <w:b w:val="0"/>
          <w:sz w:val="21"/>
          <w:highlight w:val="yellow"/>
        </w:rPr>
        <w:t>[具体金额]</w:t>
      </w:r>
      <w:r>
        <w:rPr>
          <w:rFonts w:ascii="等线" w:hAnsi="等线"/>
          <w:b w:val="0"/>
          <w:sz w:val="21"/>
        </w:rPr>
        <w:t>，其他投入</w:t>
      </w:r>
      <w:r>
        <w:rPr>
          <w:rFonts w:ascii="等线" w:hAnsi="等线"/>
          <w:b w:val="0"/>
          <w:sz w:val="21"/>
          <w:highlight w:val="yellow"/>
        </w:rPr>
        <w:t>[具体金额]</w:t>
      </w:r>
      <w:r>
        <w:rPr>
          <w:rFonts w:ascii="等线" w:hAnsi="等线"/>
          <w:b w:val="0"/>
          <w:sz w:val="21"/>
        </w:rPr>
        <w:t>。</w:t>
      </w:r>
    </w:p>
    <w:p>
      <w:pPr>
        <w:jc w:val="left"/>
      </w:pPr>
      <w:r>
        <w:rPr>
          <w:rFonts w:ascii="等线" w:hAnsi="等线"/>
          <w:b w:val="0"/>
          <w:sz w:val="21"/>
        </w:rPr>
        <w:t>2. 人员参与：我们共有</w:t>
      </w:r>
      <w:r>
        <w:rPr>
          <w:rFonts w:ascii="等线" w:hAnsi="等线"/>
          <w:b w:val="0"/>
          <w:sz w:val="21"/>
          <w:highlight w:val="yellow"/>
        </w:rPr>
        <w:t>[具体人数]</w:t>
      </w:r>
      <w:r>
        <w:rPr>
          <w:rFonts w:ascii="等线" w:hAnsi="等线"/>
          <w:b w:val="0"/>
          <w:sz w:val="21"/>
        </w:rPr>
        <w:t>员工参与了公益慈善和志愿活动，其中管理人员参与人数为</w:t>
      </w:r>
      <w:r>
        <w:rPr>
          <w:rFonts w:ascii="等线" w:hAnsi="等线"/>
          <w:b w:val="0"/>
          <w:sz w:val="21"/>
          <w:highlight w:val="yellow"/>
        </w:rPr>
        <w:t>[具体人数]</w:t>
      </w:r>
      <w:r>
        <w:rPr>
          <w:rFonts w:ascii="等线" w:hAnsi="等线"/>
          <w:b w:val="0"/>
          <w:sz w:val="21"/>
        </w:rPr>
        <w:t>，普通员工参与人数为</w:t>
      </w:r>
      <w:r>
        <w:rPr>
          <w:rFonts w:ascii="等线" w:hAnsi="等线"/>
          <w:b w:val="0"/>
          <w:sz w:val="21"/>
          <w:highlight w:val="yellow"/>
        </w:rPr>
        <w:t>[具体人数]</w:t>
      </w:r>
      <w:r>
        <w:rPr>
          <w:rFonts w:ascii="等线" w:hAnsi="等线"/>
          <w:b w:val="0"/>
          <w:sz w:val="21"/>
        </w:rPr>
        <w:t>。</w:t>
      </w:r>
    </w:p>
    <w:p>
      <w:pPr>
        <w:jc w:val="left"/>
      </w:pPr>
      <w:r>
        <w:rPr>
          <w:rFonts w:ascii="等线" w:hAnsi="等线"/>
          <w:b w:val="0"/>
          <w:sz w:val="21"/>
        </w:rPr>
        <w:t>3. 时间投入：我们员工在公益慈善和志愿活动方面的总时间投入为</w:t>
      </w:r>
      <w:r>
        <w:rPr>
          <w:rFonts w:ascii="等线" w:hAnsi="等线"/>
          <w:b w:val="0"/>
          <w:sz w:val="21"/>
          <w:highlight w:val="yellow"/>
        </w:rPr>
        <w:t>[具体时长]</w:t>
      </w:r>
      <w:r>
        <w:rPr>
          <w:rFonts w:ascii="等线" w:hAnsi="等线"/>
          <w:b w:val="0"/>
          <w:sz w:val="21"/>
        </w:rPr>
        <w:t>，其中社区服务投入</w:t>
      </w:r>
      <w:r>
        <w:rPr>
          <w:rFonts w:ascii="等线" w:hAnsi="等线"/>
          <w:b w:val="0"/>
          <w:sz w:val="21"/>
          <w:highlight w:val="yellow"/>
        </w:rPr>
        <w:t>[具体时长]</w:t>
      </w:r>
      <w:r>
        <w:rPr>
          <w:rFonts w:ascii="等线" w:hAnsi="等线"/>
          <w:b w:val="0"/>
          <w:sz w:val="21"/>
        </w:rPr>
        <w:t>，文化传承投入</w:t>
      </w:r>
      <w:r>
        <w:rPr>
          <w:rFonts w:ascii="等线" w:hAnsi="等线"/>
          <w:b w:val="0"/>
          <w:sz w:val="21"/>
          <w:highlight w:val="yellow"/>
        </w:rPr>
        <w:t>[具体时长]</w:t>
      </w:r>
      <w:r>
        <w:rPr>
          <w:rFonts w:ascii="等线" w:hAnsi="等线"/>
          <w:b w:val="0"/>
          <w:sz w:val="21"/>
        </w:rPr>
        <w:t>，应急救援投入</w:t>
      </w:r>
      <w:r>
        <w:rPr>
          <w:rFonts w:ascii="等线" w:hAnsi="等线"/>
          <w:b w:val="0"/>
          <w:sz w:val="21"/>
          <w:highlight w:val="yellow"/>
        </w:rPr>
        <w:t>[具体时长]</w:t>
      </w:r>
      <w:r>
        <w:rPr>
          <w:rFonts w:ascii="等线" w:hAnsi="等线"/>
          <w:b w:val="0"/>
          <w:sz w:val="21"/>
        </w:rPr>
        <w:t>，其他投入</w:t>
      </w:r>
      <w:r>
        <w:rPr>
          <w:rFonts w:ascii="等线" w:hAnsi="等线"/>
          <w:b w:val="0"/>
          <w:sz w:val="21"/>
          <w:highlight w:val="yellow"/>
        </w:rPr>
        <w:t>[具体时长]</w:t>
      </w:r>
      <w:r>
        <w:rPr>
          <w:rFonts w:ascii="等线" w:hAnsi="等线"/>
          <w:b w:val="0"/>
          <w:sz w:val="21"/>
        </w:rPr>
        <w:t>。</w:t>
      </w:r>
    </w:p>
    <w:p>
      <w:pPr>
        <w:jc w:val="left"/>
      </w:pPr>
      <w:r>
        <w:rPr>
          <w:rFonts w:ascii="等线" w:hAnsi="等线"/>
          <w:b w:val="0"/>
          <w:sz w:val="21"/>
        </w:rPr>
        <w:t>取得的效果</w:t>
      </w:r>
    </w:p>
    <w:p>
      <w:pPr>
        <w:jc w:val="left"/>
      </w:pPr>
      <w:r>
        <w:rPr>
          <w:rFonts w:ascii="等线" w:hAnsi="等线"/>
          <w:b w:val="0"/>
          <w:sz w:val="21"/>
        </w:rPr>
        <w:t>1. 教育支持：通过捐赠教育设备和图书，设立奖学金，我们帮助了更多的学生获得了良好的教育机会，提高了他们的综合素质和竞争力。</w:t>
      </w:r>
    </w:p>
    <w:p>
      <w:pPr>
        <w:jc w:val="left"/>
      </w:pPr>
      <w:r>
        <w:rPr>
          <w:rFonts w:ascii="等线" w:hAnsi="等线"/>
          <w:b w:val="0"/>
          <w:sz w:val="21"/>
        </w:rPr>
        <w:t>2. 医疗援助：通过捐赠医疗设备和物资，组织医疗志愿者团队，我们提高了贫困地区的医疗服务水平，改善了当地居民的健康状况。</w:t>
      </w:r>
    </w:p>
    <w:p>
      <w:pPr>
        <w:jc w:val="left"/>
      </w:pPr>
      <w:r>
        <w:rPr>
          <w:rFonts w:ascii="等线" w:hAnsi="等线"/>
          <w:b w:val="0"/>
          <w:sz w:val="21"/>
        </w:rPr>
        <w:t>3. 扶贫帮困：通过产业扶贫、就业扶贫等方式，我们帮助贫困地区实现了脱贫致富，促进了当地经济的发展和社会的稳定。</w:t>
      </w:r>
    </w:p>
    <w:p>
      <w:pPr>
        <w:jc w:val="left"/>
      </w:pPr>
      <w:r>
        <w:rPr>
          <w:rFonts w:ascii="等线" w:hAnsi="等线"/>
          <w:b w:val="0"/>
          <w:sz w:val="21"/>
        </w:rPr>
        <w:t>4. 环境保护：通过参与环保公益活动，我们提高了员工和公众的环保意识，促进了环境保护工作的开展。</w:t>
      </w:r>
    </w:p>
    <w:p>
      <w:pPr>
        <w:jc w:val="left"/>
      </w:pPr>
      <w:r>
        <w:rPr>
          <w:rFonts w:ascii="等线" w:hAnsi="等线"/>
          <w:b w:val="0"/>
          <w:sz w:val="21"/>
        </w:rPr>
        <w:t>5. 社区服务：通过组织员工参与社区服务活动，我们增强了员工的社会责任感和团队合作精神，提高了企业的社会形象和声誉。</w:t>
      </w:r>
    </w:p>
    <w:p>
      <w:pPr>
        <w:jc w:val="left"/>
      </w:pPr>
      <w:r>
        <w:rPr>
          <w:rFonts w:ascii="等线" w:hAnsi="等线"/>
          <w:b w:val="0"/>
          <w:sz w:val="21"/>
        </w:rPr>
        <w:t>6. 文化传承：通过支持文化传承活动，我们促进了文化交流和传承，丰富了员工和公众的文化生活。</w:t>
      </w:r>
    </w:p>
    <w:p>
      <w:pPr>
        <w:jc w:val="left"/>
      </w:pPr>
      <w:r>
        <w:rPr>
          <w:rFonts w:ascii="等线" w:hAnsi="等线"/>
          <w:b w:val="0"/>
          <w:sz w:val="21"/>
        </w:rPr>
        <w:t>7. 应急救援：通过成立应急救援志愿者队伍，参与自然灾害和突发事件的救援工作，我们提高了企业的应急响应能力和社会责任感。</w:t>
      </w:r>
    </w:p>
    <w:p>
      <w:pPr>
        <w:jc w:val="left"/>
      </w:pPr>
      <w:r>
        <w:rPr>
          <w:rFonts w:ascii="等线" w:hAnsi="等线"/>
          <w:b w:val="0"/>
          <w:sz w:val="21"/>
        </w:rPr>
        <w:t>对公司品牌和业务开展的影响</w:t>
      </w:r>
    </w:p>
    <w:p>
      <w:pPr>
        <w:jc w:val="left"/>
      </w:pPr>
      <w:r>
        <w:rPr>
          <w:rFonts w:ascii="等线" w:hAnsi="等线"/>
          <w:b w:val="0"/>
          <w:sz w:val="21"/>
        </w:rPr>
        <w:t>1. 提升品牌形象：通过积极参与公益慈善和志愿活动，我们树立了良好的企业形象，提高了企业的品牌知名度和美誉度。</w:t>
      </w:r>
    </w:p>
    <w:p>
      <w:pPr>
        <w:jc w:val="left"/>
      </w:pPr>
      <w:r>
        <w:rPr>
          <w:rFonts w:ascii="等线" w:hAnsi="等线"/>
          <w:b w:val="0"/>
          <w:sz w:val="21"/>
        </w:rPr>
        <w:t>2. 增强员工凝聚力：通过组织员工参与公益慈善和志愿活动，我们增强了员工的社会责任感和团队合作精神，提高了员工的凝聚力和归属感。</w:t>
      </w:r>
    </w:p>
    <w:p>
      <w:pPr>
        <w:jc w:val="left"/>
      </w:pPr>
      <w:r>
        <w:rPr>
          <w:rFonts w:ascii="等线" w:hAnsi="等线"/>
          <w:b w:val="0"/>
          <w:sz w:val="21"/>
        </w:rPr>
        <w:t>3. 促进业务发展：通过积极参与公益慈善和志愿活动，我们与社会各界建立了良好的合作关系，为企业的业务发展创造了有利条件。</w:t>
      </w:r>
    </w:p>
    <w:p>
      <w:pPr>
        <w:jc w:val="left"/>
      </w:pPr>
      <w:r>
        <w:rPr>
          <w:rFonts w:ascii="等线" w:hAnsi="等线"/>
          <w:b w:val="0"/>
          <w:sz w:val="21"/>
        </w:rPr>
        <w:t>4. 符合国际标准：我们的公益慈善和志愿活动符合国际标准和规范，有助于提升企业在国际市场上的竞争力。</w:t>
      </w:r>
    </w:p>
    <w:p>
      <w:pPr>
        <w:jc w:val="left"/>
      </w:pPr>
      <w:r>
        <w:rPr>
          <w:rFonts w:ascii="等线" w:hAnsi="等线"/>
          <w:b w:val="0"/>
          <w:sz w:val="21"/>
        </w:rPr>
        <w:t>总之，我们将继续积极参与公益慈善和志愿活动，为公众和社会做出更大的贡献。同时，我们也将不断完善企业社会责任管理体系，提高企业社会责任履行能力，推动企业可持续发展。</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rPr>
                <w:sz w:val="21"/>
              </w:rPr>
              <w:t>绩效指标</w:t>
            </w:r>
          </w:p>
        </w:tc>
        <w:tc>
          <w:tcPr>
            <w:tcW w:type="dxa" w:w="1928"/>
            <w:shd w:fill="f5f2f0"/>
          </w:tcPr>
          <w:p>
            <w:r>
              <w:rPr>
                <w:sz w:val="21"/>
              </w:rPr>
              <w:t>单位</w:t>
            </w:r>
          </w:p>
        </w:tc>
        <w:tc>
          <w:tcPr>
            <w:tcW w:type="dxa" w:w="1928"/>
            <w:shd w:fill="f5f2f0"/>
          </w:tcPr>
          <w:p>
            <w:r>
              <w:rPr>
                <w:sz w:val="21"/>
              </w:rPr>
              <w:t>2021</w:t>
            </w:r>
          </w:p>
        </w:tc>
        <w:tc>
          <w:tcPr>
            <w:tcW w:type="dxa" w:w="1928"/>
            <w:shd w:fill="f5f2f0"/>
          </w:tcPr>
          <w:p>
            <w:r>
              <w:rPr>
                <w:sz w:val="21"/>
              </w:rPr>
              <w:t>2022</w:t>
            </w:r>
          </w:p>
        </w:tc>
        <w:tc>
          <w:tcPr>
            <w:tcW w:type="dxa" w:w="1928"/>
            <w:shd w:fill="f5f2f0"/>
          </w:tcPr>
          <w:p>
            <w:r>
              <w:rPr>
                <w:sz w:val="21"/>
              </w:rPr>
              <w:t>2023</w:t>
            </w:r>
          </w:p>
        </w:tc>
      </w:tr>
      <w:tr>
        <w:tc>
          <w:tcPr>
            <w:tcW w:type="dxa" w:w="1928"/>
          </w:tcPr>
          <w:p>
            <w:r>
              <w:rPr>
                <w:sz w:val="21"/>
              </w:rPr>
              <w:t>对当地社区有实际或潜在重大负面影响的运营点</w:t>
            </w:r>
          </w:p>
        </w:tc>
        <w:tc>
          <w:tcPr>
            <w:tcW w:type="dxa" w:w="1928"/>
          </w:tcPr>
          <w:p>
            <w:r>
              <w:rPr>
                <w:sz w:val="21"/>
              </w:rPr>
              <w:t>家</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人均志愿活动时长</w:t>
            </w:r>
          </w:p>
        </w:tc>
        <w:tc>
          <w:tcPr>
            <w:tcW w:type="dxa" w:w="1928"/>
          </w:tcPr>
          <w:p>
            <w:r>
              <w:rPr>
                <w:sz w:val="21"/>
              </w:rPr>
              <w:t>小时</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从当地社区雇佣高管的比例</w:t>
            </w:r>
          </w:p>
        </w:tc>
        <w:tc>
          <w:tcPr>
            <w:tcW w:type="dxa" w:w="1928"/>
          </w:tcPr>
          <w:p>
            <w:r>
              <w:rPr>
                <w:sz w:val="21"/>
              </w:rPr>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向当地供应商采购的支出比例</w:t>
            </w:r>
          </w:p>
        </w:tc>
        <w:tc>
          <w:tcPr>
            <w:tcW w:type="dxa" w:w="1928"/>
          </w:tcPr>
          <w:p>
            <w:r>
              <w:rPr>
                <w:sz w:val="21"/>
              </w:rPr>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捐赠情况</w:t>
            </w:r>
          </w:p>
        </w:tc>
        <w:tc>
          <w:tcPr>
            <w:tcW w:type="dxa" w:w="1928"/>
          </w:tcPr>
          <w:p>
            <w:r>
              <w:rPr>
                <w:sz w:val="21"/>
              </w:rPr>
              <w:t>万元</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志愿活动时长</w:t>
            </w:r>
          </w:p>
        </w:tc>
        <w:tc>
          <w:tcPr>
            <w:tcW w:type="dxa" w:w="1928"/>
          </w:tcPr>
          <w:p>
            <w:r>
              <w:rPr>
                <w:sz w:val="21"/>
              </w:rPr>
              <w:t>小时</w:t>
            </w:r>
          </w:p>
        </w:tc>
        <w:tc>
          <w:tcPr>
            <w:tcW w:type="dxa" w:w="1928"/>
          </w:tcPr>
          <w:p>
            <w:r>
              <w:rPr>
                <w:sz w:val="21"/>
              </w:rPr>
            </w:r>
          </w:p>
        </w:tc>
        <w:tc>
          <w:tcPr>
            <w:tcW w:type="dxa" w:w="1928"/>
          </w:tcPr>
          <w:p>
            <w:r>
              <w:rPr>
                <w:sz w:val="21"/>
              </w:rPr>
            </w:r>
          </w:p>
        </w:tc>
        <w:tc>
          <w:tcPr>
            <w:tcW w:type="dxa" w:w="1928"/>
          </w:tcPr>
          <w:p>
            <w:r>
              <w:rPr>
                <w:sz w:val="21"/>
              </w:rPr>
            </w:r>
          </w:p>
        </w:tc>
      </w:tr>
    </w:tbl>
    <w:p>
      <w:pPr>
        <w:pStyle w:val="Heading2"/>
      </w:pPr>
      <w:r>
        <w:rPr>
          <w:rFonts w:ascii="等线" w:hAnsi="等线" w:eastAsia="等线"/>
          <w:color w:val="000000"/>
          <w:sz w:val="32"/>
        </w:rPr>
        <w:t>创新驱动</w:t>
      </w:r>
    </w:p>
    <w:p>
      <w:pPr>
        <w:jc w:val="left"/>
      </w:pPr>
      <w:r>
        <w:rPr>
          <w:rFonts w:ascii="等线" w:hAnsi="等线"/>
          <w:b w:val="0"/>
          <w:sz w:val="21"/>
        </w:rPr>
        <w:t>社会-创新驱动</w:t>
      </w:r>
    </w:p>
    <w:p>
      <w:pPr>
        <w:jc w:val="left"/>
      </w:pPr>
      <w:r>
        <w:rPr>
          <w:rFonts w:ascii="等线" w:hAnsi="等线"/>
          <w:b w:val="0"/>
          <w:sz w:val="21"/>
        </w:rPr>
        <w:t>1. 科技创新的战略和目标：</w:t>
      </w:r>
    </w:p>
    <w:p>
      <w:pPr>
        <w:ind w:left="480"/>
        <w:jc w:val="left"/>
      </w:pPr>
      <w:r>
        <w:rPr>
          <w:rFonts w:ascii="等线" w:hAnsi="等线"/>
          <w:b w:val="0"/>
          <w:sz w:val="21"/>
        </w:rPr>
        <w:t>◦ 我们致力于成为汽车零部件行业的创新领导者，通过持续的科技创新提升产品质量和竞争力。</w:t>
      </w:r>
    </w:p>
    <w:p>
      <w:pPr>
        <w:ind w:left="480"/>
        <w:jc w:val="left"/>
      </w:pPr>
      <w:r>
        <w:rPr>
          <w:rFonts w:ascii="等线" w:hAnsi="等线"/>
          <w:b w:val="0"/>
          <w:sz w:val="21"/>
        </w:rPr>
        <w:t>◦ 公司制定了明确的科技创新战略，将研发投入占主营业务收入的比例设定为 X%，以确保有足够的资金支持创新项目。</w:t>
      </w:r>
    </w:p>
    <w:p>
      <w:pPr>
        <w:ind w:left="480"/>
        <w:jc w:val="left"/>
      </w:pPr>
      <w:r>
        <w:rPr>
          <w:rFonts w:ascii="等线" w:hAnsi="等线"/>
          <w:b w:val="0"/>
          <w:sz w:val="21"/>
        </w:rPr>
        <w:t>◦ 为了保障科技创新的资金需求，我们采取了多种筹措方式，包括内部资金调配、外部融资等。</w:t>
      </w:r>
    </w:p>
    <w:p>
      <w:pPr>
        <w:jc w:val="left"/>
      </w:pPr>
      <w:r>
        <w:rPr>
          <w:rFonts w:ascii="等线" w:hAnsi="等线"/>
          <w:b w:val="0"/>
          <w:sz w:val="21"/>
        </w:rPr>
        <w:t>2. 开展科技创新的具体情况：</w:t>
      </w:r>
    </w:p>
    <w:p>
      <w:pPr>
        <w:ind w:left="480"/>
        <w:jc w:val="left"/>
      </w:pPr>
      <w:r>
        <w:rPr>
          <w:rFonts w:ascii="等线" w:hAnsi="等线"/>
          <w:b w:val="0"/>
          <w:sz w:val="21"/>
        </w:rPr>
        <w:t>◦ 我们建立了完善的研发创新管理制度体系，涵盖了项目立项、研发过程管理、成果评估等环节，确保科技创新活动的高效开展。</w:t>
      </w:r>
    </w:p>
    <w:p>
      <w:pPr>
        <w:ind w:left="480"/>
        <w:jc w:val="left"/>
      </w:pPr>
      <w:r>
        <w:rPr>
          <w:rFonts w:ascii="等线" w:hAnsi="等线"/>
          <w:b w:val="0"/>
          <w:sz w:val="21"/>
        </w:rPr>
        <w:t>◦ 公司积极参与各类研发创新、科技合作项目，与国内外知名高校、科研机构建立了紧密的合作关系，共同推动行业技术进步。</w:t>
      </w:r>
    </w:p>
    <w:p>
      <w:pPr>
        <w:ind w:left="480"/>
        <w:jc w:val="left"/>
      </w:pPr>
      <w:r>
        <w:rPr>
          <w:rFonts w:ascii="等线" w:hAnsi="等线"/>
          <w:b w:val="0"/>
          <w:sz w:val="21"/>
        </w:rPr>
        <w:t>◦ 在研发投入方面，报告期内公司投入了 X 万元用于科技创新，研发人员数量达到 X 人，占员工总数的 X%。</w:t>
      </w:r>
    </w:p>
    <w:p>
      <w:pPr>
        <w:ind w:left="480"/>
        <w:jc w:val="left"/>
      </w:pPr>
      <w:r>
        <w:rPr>
          <w:rFonts w:ascii="等线" w:hAnsi="等线"/>
          <w:b w:val="0"/>
          <w:sz w:val="21"/>
        </w:rPr>
        <w:t>◦ 截至报告期末，公司应用于主营业务的发明专利数量为 X 项。</w:t>
      </w:r>
    </w:p>
    <w:p>
      <w:pPr>
        <w:jc w:val="left"/>
      </w:pPr>
      <w:r>
        <w:rPr>
          <w:rFonts w:ascii="等线" w:hAnsi="等线"/>
          <w:b w:val="0"/>
          <w:sz w:val="21"/>
        </w:rPr>
        <w:t>3. 取得的研发进展及成果、获得的专业资质和重要奖项：</w:t>
      </w:r>
    </w:p>
    <w:p>
      <w:pPr>
        <w:ind w:left="480"/>
        <w:jc w:val="left"/>
      </w:pPr>
      <w:r>
        <w:rPr>
          <w:rFonts w:ascii="等线" w:hAnsi="等线"/>
          <w:b w:val="0"/>
          <w:sz w:val="21"/>
        </w:rPr>
        <w:t>◦ 在报告期内，公司取得了多项重要的研发进展和成果，其中发明专利的申请数为 X 项，授权数为 X 项，有效专利数达到 X 项。</w:t>
      </w:r>
    </w:p>
    <w:p>
      <w:pPr>
        <w:ind w:left="480"/>
        <w:jc w:val="left"/>
      </w:pPr>
      <w:r>
        <w:rPr>
          <w:rFonts w:ascii="等线" w:hAnsi="等线"/>
          <w:b w:val="0"/>
          <w:sz w:val="21"/>
        </w:rPr>
        <w:t>◦ 公司通过了高新技术企业认定，获得了国家科学技术奖项 X 项，这些荣誉充分证明了公司在科技创新方面的实力和成就。</w:t>
      </w:r>
    </w:p>
    <w:p>
      <w:pPr>
        <w:jc w:val="left"/>
      </w:pPr>
      <w:r>
        <w:rPr>
          <w:rFonts w:ascii="等线" w:hAnsi="等线"/>
          <w:b w:val="0"/>
          <w:sz w:val="21"/>
        </w:rPr>
        <w:t>4. 科技创新成果及其应用对推动发展新质生产力的作用，以及对经济、社会、环境和利益相关方的影响：</w:t>
      </w:r>
    </w:p>
    <w:p>
      <w:pPr>
        <w:ind w:left="480"/>
        <w:jc w:val="left"/>
      </w:pPr>
      <w:r>
        <w:rPr>
          <w:rFonts w:ascii="等线" w:hAnsi="等线"/>
          <w:b w:val="0"/>
          <w:sz w:val="21"/>
        </w:rPr>
        <w:t>◦ 科技创新成果的应用显著提高了公司的生产效率和产品质量，降低了生产成本，为公司的可持续发展提供了有力支撑。</w:t>
      </w:r>
    </w:p>
    <w:p>
      <w:pPr>
        <w:ind w:left="480"/>
        <w:jc w:val="left"/>
      </w:pPr>
      <w:r>
        <w:rPr>
          <w:rFonts w:ascii="等线" w:hAnsi="等线"/>
          <w:b w:val="0"/>
          <w:sz w:val="21"/>
        </w:rPr>
        <w:t>◦ 公司的科技创新成果对经济发展起到了积极的推动作用，促进了汽车零部件行业的技术进步和产业升级。</w:t>
      </w:r>
    </w:p>
    <w:p>
      <w:pPr>
        <w:ind w:left="480"/>
        <w:jc w:val="left"/>
      </w:pPr>
      <w:r>
        <w:rPr>
          <w:rFonts w:ascii="等线" w:hAnsi="等线"/>
          <w:b w:val="0"/>
          <w:sz w:val="21"/>
        </w:rPr>
        <w:t>◦ 在社会方面，科技创新成果的应用提高了汽车的安全性和舒适性，为人们的出行提供了更好的保障。</w:t>
      </w:r>
    </w:p>
    <w:p>
      <w:pPr>
        <w:ind w:left="480"/>
        <w:jc w:val="left"/>
      </w:pPr>
      <w:r>
        <w:rPr>
          <w:rFonts w:ascii="等线" w:hAnsi="等线"/>
          <w:b w:val="0"/>
          <w:sz w:val="21"/>
        </w:rPr>
        <w:t>◦ 科技创新成果的应用对环境也产生了积极的影响，例如降低了汽车的能耗和尾气排放，减少了对环境的污染。</w:t>
      </w:r>
    </w:p>
    <w:p>
      <w:pPr>
        <w:ind w:left="480"/>
        <w:jc w:val="left"/>
      </w:pPr>
      <w:r>
        <w:rPr>
          <w:rFonts w:ascii="等线" w:hAnsi="等线"/>
          <w:b w:val="0"/>
          <w:sz w:val="21"/>
        </w:rPr>
        <w:t>◦ 公司的科技创新成果对利益相关方也产生了重要的影响，为股东创造了更高的价值，为员工提供了更好的发展机会，为客户提供了更优质的产品和服务。</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rPr>
                <w:sz w:val="21"/>
              </w:rPr>
              <w:t>绩效指标</w:t>
            </w:r>
          </w:p>
        </w:tc>
        <w:tc>
          <w:tcPr>
            <w:tcW w:type="dxa" w:w="1928"/>
            <w:shd w:fill="f5f2f0"/>
          </w:tcPr>
          <w:p>
            <w:r>
              <w:rPr>
                <w:sz w:val="21"/>
              </w:rPr>
              <w:t>单位</w:t>
            </w:r>
          </w:p>
        </w:tc>
        <w:tc>
          <w:tcPr>
            <w:tcW w:type="dxa" w:w="1928"/>
            <w:shd w:fill="f5f2f0"/>
          </w:tcPr>
          <w:p>
            <w:r>
              <w:rPr>
                <w:sz w:val="21"/>
              </w:rPr>
              <w:t>2021</w:t>
            </w:r>
          </w:p>
        </w:tc>
        <w:tc>
          <w:tcPr>
            <w:tcW w:type="dxa" w:w="1928"/>
            <w:shd w:fill="f5f2f0"/>
          </w:tcPr>
          <w:p>
            <w:r>
              <w:rPr>
                <w:sz w:val="21"/>
              </w:rPr>
              <w:t>2022</w:t>
            </w:r>
          </w:p>
        </w:tc>
        <w:tc>
          <w:tcPr>
            <w:tcW w:type="dxa" w:w="1928"/>
            <w:shd w:fill="f5f2f0"/>
          </w:tcPr>
          <w:p>
            <w:r>
              <w:rPr>
                <w:sz w:val="21"/>
              </w:rPr>
              <w:t>2023</w:t>
            </w:r>
          </w:p>
        </w:tc>
      </w:tr>
      <w:tr>
        <w:tc>
          <w:tcPr>
            <w:tcW w:type="dxa" w:w="1928"/>
          </w:tcPr>
          <w:p>
            <w:r>
              <w:rPr>
                <w:sz w:val="21"/>
              </w:rPr>
              <w:t>研发投入</w:t>
            </w:r>
          </w:p>
        </w:tc>
        <w:tc>
          <w:tcPr>
            <w:tcW w:type="dxa" w:w="1928"/>
          </w:tcPr>
          <w:p>
            <w:r>
              <w:rPr>
                <w:sz w:val="21"/>
              </w:rPr>
              <w:t>万元</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研发投入占营收比</w:t>
            </w:r>
          </w:p>
        </w:tc>
        <w:tc>
          <w:tcPr>
            <w:tcW w:type="dxa" w:w="1928"/>
          </w:tcPr>
          <w:p>
            <w:r>
              <w:rPr>
                <w:sz w:val="21"/>
              </w:rPr>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获得专利数量</w:t>
            </w:r>
          </w:p>
        </w:tc>
        <w:tc>
          <w:tcPr>
            <w:tcW w:type="dxa" w:w="1928"/>
          </w:tcPr>
          <w:p>
            <w:r>
              <w:rPr>
                <w:sz w:val="21"/>
              </w:rPr>
              <w:t>个</w:t>
            </w:r>
          </w:p>
        </w:tc>
        <w:tc>
          <w:tcPr>
            <w:tcW w:type="dxa" w:w="1928"/>
          </w:tcPr>
          <w:p>
            <w:r>
              <w:rPr>
                <w:sz w:val="21"/>
              </w:rPr>
            </w:r>
          </w:p>
        </w:tc>
        <w:tc>
          <w:tcPr>
            <w:tcW w:type="dxa" w:w="1928"/>
          </w:tcPr>
          <w:p>
            <w:r>
              <w:rPr>
                <w:sz w:val="21"/>
              </w:rPr>
            </w:r>
          </w:p>
        </w:tc>
        <w:tc>
          <w:tcPr>
            <w:tcW w:type="dxa" w:w="1928"/>
          </w:tcPr>
          <w:p>
            <w:r>
              <w:rPr>
                <w:sz w:val="21"/>
              </w:rPr>
            </w:r>
          </w:p>
        </w:tc>
      </w:tr>
    </w:tbl>
    <w:p>
      <w:pPr>
        <w:pStyle w:val="Heading2"/>
      </w:pPr>
      <w:r>
        <w:rPr>
          <w:rFonts w:ascii="等线" w:hAnsi="等线" w:eastAsia="等线"/>
          <w:color w:val="000000"/>
          <w:sz w:val="32"/>
        </w:rPr>
        <w:t>科技伦理</w:t>
      </w:r>
    </w:p>
    <w:p>
      <w:pPr>
        <w:jc w:val="left"/>
      </w:pPr>
      <w:r>
        <w:rPr>
          <w:rFonts w:ascii="等线" w:hAnsi="等线"/>
          <w:b w:val="0"/>
          <w:sz w:val="21"/>
        </w:rPr>
        <w:t>社会-科技伦理</w:t>
      </w:r>
    </w:p>
    <w:p>
      <w:pPr>
        <w:jc w:val="left"/>
      </w:pPr>
      <w:r>
        <w:rPr>
          <w:rFonts w:ascii="等线" w:hAnsi="等线"/>
          <w:b w:val="0"/>
          <w:sz w:val="21"/>
        </w:rPr>
        <w:t>一、从事科技研究、技术开发等科技活动的领域及遵守的科技伦理规范</w:t>
      </w:r>
    </w:p>
    <w:p>
      <w:pPr>
        <w:jc w:val="left"/>
      </w:pPr>
      <w:r>
        <w:rPr>
          <w:rFonts w:ascii="等线" w:hAnsi="等线"/>
          <w:b w:val="0"/>
          <w:sz w:val="21"/>
        </w:rPr>
        <w:t>本公司作为一家大型民营汽车零部件企业，致力于汽车零部件的研发、生产和销售。在科技活动领域，我们主要涉及汽车零部件的设计、制造工艺的改进以及新材料的应用等方面。</w:t>
      </w:r>
    </w:p>
    <w:p>
      <w:pPr>
        <w:jc w:val="left"/>
      </w:pPr>
      <w:r>
        <w:rPr>
          <w:rFonts w:ascii="等线" w:hAnsi="等线"/>
          <w:b w:val="0"/>
          <w:sz w:val="21"/>
        </w:rPr>
        <w:t>我们遵守的科技伦理规范包括但不限于以下几个方面：1. 尊重人权和基本自由，确保科技活动不会侵犯个人的尊严和权利。2. 保护环境，减少科技活动对环境的负面影响。3. 促进可持续发展，确保科技活动符合经济、社会和环境的可持续性要求。4. 遵循科学方法和原则，确保科技活动的可靠性和有效性。5. 遵守法律法规，确保科技活动符合国家和地区的法律法规要求。</w:t>
      </w:r>
    </w:p>
    <w:p>
      <w:pPr>
        <w:jc w:val="left"/>
      </w:pPr>
      <w:r>
        <w:rPr>
          <w:rFonts w:ascii="等线" w:hAnsi="等线"/>
          <w:b w:val="0"/>
          <w:sz w:val="21"/>
        </w:rPr>
        <w:t>二、内部管理制度中关于科技伦理的规定及其落实情况，科技伦理（审查）委员会的设置及其运作情况（如有）</w:t>
      </w:r>
    </w:p>
    <w:p>
      <w:pPr>
        <w:jc w:val="left"/>
      </w:pPr>
      <w:r>
        <w:rPr>
          <w:rFonts w:ascii="等线" w:hAnsi="等线"/>
          <w:b w:val="0"/>
          <w:sz w:val="21"/>
        </w:rPr>
        <w:t>为了确保科技伦理的遵守，我们制定了一系列内部管理制度，包括但不限于以下几个方面：1. 科技伦理审查制度：对涉及科技伦理的项目进行审查，确保其符合科技伦理规范。2. 科技伦理培训制度：定期对员工进行科技伦理培训，提高员工的科技伦理意识。3. 科技伦理监督制度：对科技活动进行监督，及时发现和纠正违反科技伦理的行为。</w:t>
      </w:r>
    </w:p>
    <w:p>
      <w:pPr>
        <w:jc w:val="left"/>
      </w:pPr>
      <w:r>
        <w:rPr>
          <w:rFonts w:ascii="等线" w:hAnsi="等线"/>
          <w:b w:val="0"/>
          <w:sz w:val="21"/>
        </w:rPr>
        <w:t>此外，我们还成立了科技伦理（审查）委员会，负责对涉及科技伦理的项目进行审查和监督。该委员会由公司内部的专家和外部的专家组成，确保审查的公正性和客观性。</w:t>
      </w:r>
    </w:p>
    <w:p>
      <w:pPr>
        <w:jc w:val="left"/>
      </w:pPr>
      <w:r>
        <w:rPr>
          <w:rFonts w:ascii="等线" w:hAnsi="等线"/>
          <w:b w:val="0"/>
          <w:sz w:val="21"/>
        </w:rPr>
        <w:t>三、违反科技伦理的行为，包括相关行为的基本情况、被有权机关处罚的情况，内部调查处理与责任追究情况，以及采取的整改措施（如有）</w:t>
      </w:r>
    </w:p>
    <w:p>
      <w:pPr>
        <w:jc w:val="left"/>
      </w:pPr>
      <w:r>
        <w:rPr>
          <w:rFonts w:ascii="等线" w:hAnsi="等线"/>
          <w:b w:val="0"/>
          <w:sz w:val="21"/>
        </w:rPr>
        <w:t>在报告期内，我们没有发生违反科技伦理的行为。我们将继续加强对科技伦理的管理和监督，确保科技活动的合法性和公正性。</w:t>
      </w:r>
    </w:p>
    <w:p>
      <w:pPr>
        <w:jc w:val="left"/>
      </w:pPr>
      <w:r>
        <w:rPr>
          <w:rFonts w:ascii="等线" w:hAnsi="等线"/>
          <w:b w:val="0"/>
          <w:sz w:val="21"/>
        </w:rPr>
        <w:t>四、开展科技伦理内外部培训及科普宣传等情况</w:t>
      </w:r>
    </w:p>
    <w:p>
      <w:pPr>
        <w:jc w:val="left"/>
      </w:pPr>
      <w:r>
        <w:rPr>
          <w:rFonts w:ascii="等线" w:hAnsi="等线"/>
          <w:b w:val="0"/>
          <w:sz w:val="21"/>
        </w:rPr>
        <w:t>为了提高员工的科技伦理意识，我们开展了一系列科技伦理内外部培训活动，包括但不限于以下几个方面：1. 内部培训：定期对员工进行科技伦理培训，提高员工的科技伦理意识。2. 外部培训：参加行业协会和专业机构组织的科技伦理培训活动，了解最新的科技伦理规范和要求。3. 科普宣传：通过公司内部的宣传栏、网站和社交媒体等渠道，向员工和社会公众宣传科技伦理的重要性和相关知识。</w:t>
      </w:r>
    </w:p>
    <w:p>
      <w:pPr>
        <w:jc w:val="left"/>
      </w:pPr>
      <w:r>
        <w:rPr>
          <w:rFonts w:ascii="等线" w:hAnsi="等线"/>
          <w:b w:val="0"/>
          <w:sz w:val="21"/>
        </w:rPr>
        <w:t>通过以上培训和宣传活动，我们提高了员工的科技伦理意识，增强了公司的社会责任感和公信力。</w:t>
      </w:r>
    </w:p>
    <w:p>
      <w:pPr>
        <w:pStyle w:val="Heading2"/>
      </w:pPr>
      <w:r>
        <w:rPr>
          <w:rFonts w:ascii="等线" w:hAnsi="等线" w:eastAsia="等线"/>
          <w:color w:val="000000"/>
          <w:sz w:val="32"/>
        </w:rPr>
        <w:t>供应链安全</w:t>
      </w:r>
    </w:p>
    <w:p>
      <w:pPr>
        <w:jc w:val="left"/>
      </w:pPr>
      <w:r>
        <w:rPr>
          <w:rFonts w:ascii="等线" w:hAnsi="等线"/>
          <w:b w:val="0"/>
          <w:sz w:val="21"/>
        </w:rPr>
        <w:t>供应链安全</w:t>
      </w:r>
    </w:p>
    <w:p>
      <w:pPr>
        <w:jc w:val="left"/>
      </w:pPr>
      <w:r>
        <w:rPr>
          <w:rFonts w:ascii="等线" w:hAnsi="等线"/>
          <w:b w:val="0"/>
          <w:sz w:val="21"/>
        </w:rPr>
        <w:t>1. 供应链风险管理的基本情况</w:t>
      </w:r>
    </w:p>
    <w:p>
      <w:pPr>
        <w:ind w:left="480"/>
        <w:jc w:val="left"/>
      </w:pPr>
      <w:r>
        <w:rPr>
          <w:rFonts w:ascii="等线" w:hAnsi="等线"/>
          <w:b w:val="0"/>
          <w:sz w:val="21"/>
        </w:rPr>
        <w:t>◦ 公司制定了明确的供应链风险管理目标，致力于确保供应链的稳定和安全，以满足客户需求并实现可持续发展。</w:t>
      </w:r>
    </w:p>
    <w:p>
      <w:pPr>
        <w:ind w:left="480"/>
        <w:jc w:val="left"/>
      </w:pPr>
      <w:r>
        <w:rPr>
          <w:rFonts w:ascii="等线" w:hAnsi="等线"/>
          <w:b w:val="0"/>
          <w:sz w:val="21"/>
        </w:rPr>
        <w:t>◦ 具体计划包括建立供应商评估和选择体系，定期评估供应商的财务状况、生产能力和质量控制体系，以降低供应商风险。</w:t>
      </w:r>
    </w:p>
    <w:p>
      <w:pPr>
        <w:ind w:left="480"/>
        <w:jc w:val="left"/>
      </w:pPr>
      <w:r>
        <w:rPr>
          <w:rFonts w:ascii="等线" w:hAnsi="等线"/>
          <w:b w:val="0"/>
          <w:sz w:val="21"/>
        </w:rPr>
        <w:t>◦ 公司建立了完善的供应链风险应对机制，包括制定应急预案、建立备用供应商库和加强与供应商的沟通协调等措施。</w:t>
      </w:r>
    </w:p>
    <w:p>
      <w:pPr>
        <w:ind w:left="480"/>
        <w:jc w:val="left"/>
      </w:pPr>
      <w:r>
        <w:rPr>
          <w:rFonts w:ascii="等线" w:hAnsi="等线"/>
          <w:b w:val="0"/>
          <w:sz w:val="21"/>
        </w:rPr>
        <w:t>◦ 通过实施这些措施，公司在报告期内有效地应对了供应链中断、原材料价格波动等风险，保障了供应链的稳定运行。</w:t>
      </w:r>
    </w:p>
    <w:p>
      <w:pPr>
        <w:jc w:val="left"/>
      </w:pPr>
      <w:r>
        <w:rPr>
          <w:rFonts w:ascii="等线" w:hAnsi="等线"/>
          <w:b w:val="0"/>
          <w:sz w:val="21"/>
        </w:rPr>
        <w:t>2. 保障自身供应链安全、强化供应链优势的举措和积极效果</w:t>
      </w:r>
    </w:p>
    <w:p>
      <w:pPr>
        <w:ind w:left="480"/>
        <w:jc w:val="left"/>
      </w:pPr>
      <w:r>
        <w:rPr>
          <w:rFonts w:ascii="等线" w:hAnsi="等线"/>
          <w:b w:val="0"/>
          <w:sz w:val="21"/>
        </w:rPr>
        <w:t>◦ 公司通过并购重组等方式，整合供应链资源，优化供应链布局，提高供应链的协同效应和竞争力。</w:t>
      </w:r>
    </w:p>
    <w:p>
      <w:pPr>
        <w:ind w:left="480"/>
        <w:jc w:val="left"/>
      </w:pPr>
      <w:r>
        <w:rPr>
          <w:rFonts w:ascii="等线" w:hAnsi="等线"/>
          <w:b w:val="0"/>
          <w:sz w:val="21"/>
        </w:rPr>
        <w:t>◦ 例如，公司在报告期内收购了一家关键零部件供应商，实现了对供应链的垂直整合，提高了供应链的稳定性和可控性。</w:t>
      </w:r>
    </w:p>
    <w:p>
      <w:pPr>
        <w:ind w:left="480"/>
        <w:jc w:val="left"/>
      </w:pPr>
      <w:r>
        <w:rPr>
          <w:rFonts w:ascii="等线" w:hAnsi="等线"/>
          <w:b w:val="0"/>
          <w:sz w:val="21"/>
        </w:rPr>
        <w:t>◦ 公司加大了对科技创新的投入，通过研发和应用先进的供应链管理技术，提高供应链的效率和透明度。</w:t>
      </w:r>
    </w:p>
    <w:p>
      <w:pPr>
        <w:ind w:left="480"/>
        <w:jc w:val="left"/>
      </w:pPr>
      <w:r>
        <w:rPr>
          <w:rFonts w:ascii="等线" w:hAnsi="等线"/>
          <w:b w:val="0"/>
          <w:sz w:val="21"/>
        </w:rPr>
        <w:t>◦ 例如，公司采用了物联网技术，实现了对原材料和零部件的实时跟踪和监控，提高了供应链的可视化水平和风险管理能力。</w:t>
      </w:r>
    </w:p>
    <w:p>
      <w:pPr>
        <w:ind w:left="480"/>
        <w:jc w:val="left"/>
      </w:pPr>
      <w:r>
        <w:rPr>
          <w:rFonts w:ascii="等线" w:hAnsi="等线"/>
          <w:b w:val="0"/>
          <w:sz w:val="21"/>
        </w:rPr>
        <w:t>◦ 通过这些举措，公司有效地保障了自身供应链的安全，强化了供应链优势，提高了市场竞争力。</w:t>
      </w:r>
    </w:p>
    <w:p>
      <w:pPr>
        <w:jc w:val="left"/>
      </w:pPr>
      <w:r>
        <w:rPr>
          <w:rFonts w:ascii="等线" w:hAnsi="等线"/>
          <w:b w:val="0"/>
          <w:sz w:val="21"/>
        </w:rPr>
        <w:t>3. 加强供应链管理、促进供应链可持续发展的行动和举措</w:t>
      </w:r>
    </w:p>
    <w:p>
      <w:pPr>
        <w:ind w:left="480"/>
        <w:jc w:val="left"/>
      </w:pPr>
      <w:r>
        <w:rPr>
          <w:rFonts w:ascii="等线" w:hAnsi="等线"/>
          <w:b w:val="0"/>
          <w:sz w:val="21"/>
        </w:rPr>
        <w:t>◦ 公司建立了可持续采购政策，鼓励供应商采用环保、节能和社会责任标准，促进供应链的可持续发展。</w:t>
      </w:r>
    </w:p>
    <w:p>
      <w:pPr>
        <w:ind w:left="480"/>
        <w:jc w:val="left"/>
      </w:pPr>
      <w:r>
        <w:rPr>
          <w:rFonts w:ascii="等线" w:hAnsi="等线"/>
          <w:b w:val="0"/>
          <w:sz w:val="21"/>
        </w:rPr>
        <w:t>◦ 公司加强了与供应商的合作，共同开展节能减排、资源回收等项目，实现了供应链的绿色发展。</w:t>
      </w:r>
    </w:p>
    <w:p>
      <w:pPr>
        <w:ind w:left="480"/>
        <w:jc w:val="left"/>
      </w:pPr>
      <w:r>
        <w:rPr>
          <w:rFonts w:ascii="等线" w:hAnsi="等线"/>
          <w:b w:val="0"/>
          <w:sz w:val="21"/>
        </w:rPr>
        <w:t>◦ 公司积极参与行业协会和标准制定组织，推动供应链管理的规范化和标准化，提高了供应链的整体水平。</w:t>
      </w:r>
    </w:p>
    <w:p>
      <w:pPr>
        <w:ind w:left="480"/>
        <w:jc w:val="left"/>
      </w:pPr>
      <w:r>
        <w:rPr>
          <w:rFonts w:ascii="等线" w:hAnsi="等线"/>
          <w:b w:val="0"/>
          <w:sz w:val="21"/>
        </w:rPr>
        <w:t>◦ 通过这些行动和举措，公司加强了供应链管理，促进了供应链的可持续发展，为公司的长期发展奠定了坚实的基础。</w:t>
      </w:r>
    </w:p>
    <w:p>
      <w:pPr>
        <w:jc w:val="left"/>
      </w:pPr>
      <w:r>
        <w:rPr>
          <w:rFonts w:ascii="等线" w:hAnsi="等线"/>
          <w:b w:val="0"/>
          <w:sz w:val="21"/>
        </w:rPr>
        <w:t>总之，公司高度重视供应链安全和可持续发展，通过建立完善的供应链风险管理体系、采取有效的保障措施和积极推动供应链管理的创新和发展，公司有效地保障了供应链的稳定和安全，强化了供应链优势，促进了供应链的可持续发展。</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rPr>
                <w:sz w:val="21"/>
              </w:rPr>
              <w:t>绩效指标</w:t>
            </w:r>
          </w:p>
        </w:tc>
        <w:tc>
          <w:tcPr>
            <w:tcW w:type="dxa" w:w="1928"/>
            <w:shd w:fill="f5f2f0"/>
          </w:tcPr>
          <w:p>
            <w:r>
              <w:rPr>
                <w:sz w:val="21"/>
              </w:rPr>
              <w:t>单位</w:t>
            </w:r>
          </w:p>
        </w:tc>
        <w:tc>
          <w:tcPr>
            <w:tcW w:type="dxa" w:w="1928"/>
            <w:shd w:fill="f5f2f0"/>
          </w:tcPr>
          <w:p>
            <w:r>
              <w:rPr>
                <w:sz w:val="21"/>
              </w:rPr>
              <w:t>2021</w:t>
            </w:r>
          </w:p>
        </w:tc>
        <w:tc>
          <w:tcPr>
            <w:tcW w:type="dxa" w:w="1928"/>
            <w:shd w:fill="f5f2f0"/>
          </w:tcPr>
          <w:p>
            <w:r>
              <w:rPr>
                <w:sz w:val="21"/>
              </w:rPr>
              <w:t>2022</w:t>
            </w:r>
          </w:p>
        </w:tc>
        <w:tc>
          <w:tcPr>
            <w:tcW w:type="dxa" w:w="1928"/>
            <w:shd w:fill="f5f2f0"/>
          </w:tcPr>
          <w:p>
            <w:r>
              <w:rPr>
                <w:sz w:val="21"/>
              </w:rPr>
              <w:t>2023</w:t>
            </w:r>
          </w:p>
        </w:tc>
      </w:tr>
      <w:tr>
        <w:tc>
          <w:tcPr>
            <w:tcW w:type="dxa" w:w="1928"/>
          </w:tcPr>
          <w:p>
            <w:r>
              <w:rPr>
                <w:sz w:val="21"/>
              </w:rPr>
              <w:t>供应商数量</w:t>
            </w:r>
          </w:p>
        </w:tc>
        <w:tc>
          <w:tcPr>
            <w:tcW w:type="dxa" w:w="1928"/>
          </w:tcPr>
          <w:p>
            <w:r>
              <w:rPr>
                <w:sz w:val="21"/>
              </w:rPr>
              <w:t>家</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经过认证的供应商数量</w:t>
            </w:r>
          </w:p>
        </w:tc>
        <w:tc>
          <w:tcPr>
            <w:tcW w:type="dxa" w:w="1928"/>
          </w:tcPr>
          <w:p>
            <w:r>
              <w:rPr>
                <w:sz w:val="21"/>
              </w:rPr>
              <w:t>家</w:t>
            </w:r>
          </w:p>
        </w:tc>
        <w:tc>
          <w:tcPr>
            <w:tcW w:type="dxa" w:w="1928"/>
          </w:tcPr>
          <w:p>
            <w:r>
              <w:rPr>
                <w:sz w:val="21"/>
              </w:rPr>
            </w:r>
          </w:p>
        </w:tc>
        <w:tc>
          <w:tcPr>
            <w:tcW w:type="dxa" w:w="1928"/>
          </w:tcPr>
          <w:p>
            <w:r>
              <w:rPr>
                <w:sz w:val="21"/>
              </w:rPr>
            </w:r>
          </w:p>
        </w:tc>
        <w:tc>
          <w:tcPr>
            <w:tcW w:type="dxa" w:w="1928"/>
          </w:tcPr>
          <w:p>
            <w:r>
              <w:rPr>
                <w:sz w:val="21"/>
              </w:rPr>
            </w:r>
          </w:p>
        </w:tc>
      </w:tr>
    </w:tbl>
    <w:p>
      <w:pPr>
        <w:pStyle w:val="Heading2"/>
      </w:pPr>
      <w:r>
        <w:rPr>
          <w:rFonts w:ascii="等线" w:hAnsi="等线" w:eastAsia="等线"/>
          <w:color w:val="000000"/>
          <w:sz w:val="32"/>
        </w:rPr>
        <w:t>产品和服务安全与质量</w:t>
      </w:r>
    </w:p>
    <w:p>
      <w:pPr>
        <w:jc w:val="left"/>
      </w:pPr>
      <w:r>
        <w:rPr>
          <w:rFonts w:ascii="等线" w:hAnsi="等线"/>
          <w:b w:val="0"/>
          <w:sz w:val="21"/>
        </w:rPr>
        <w:t>社会-产品和服务安全与质量</w:t>
      </w:r>
    </w:p>
    <w:p>
      <w:pPr>
        <w:jc w:val="left"/>
      </w:pPr>
      <w:r>
        <w:rPr>
          <w:rFonts w:ascii="等线" w:hAnsi="等线"/>
          <w:b w:val="0"/>
          <w:sz w:val="21"/>
        </w:rPr>
        <w:t>我们一直致力于提供高质量、安全可靠的汽车零部件产品和服务，以满足客户的需求和期望。以下是我们在产品和服务安全与质量管理方面的基本情况：</w:t>
      </w:r>
    </w:p>
    <w:p>
      <w:pPr>
        <w:jc w:val="left"/>
      </w:pPr>
      <w:r>
        <w:rPr>
          <w:rFonts w:ascii="等线" w:hAnsi="等线"/>
          <w:b w:val="0"/>
          <w:sz w:val="21"/>
        </w:rPr>
        <w:t>一、产品和服务质量管理体系、制度的建设、执行情况以及具体措施</w:t>
      </w:r>
    </w:p>
    <w:p>
      <w:pPr>
        <w:jc w:val="left"/>
      </w:pPr>
      <w:r>
        <w:rPr>
          <w:rFonts w:ascii="等线" w:hAnsi="等线"/>
          <w:b w:val="0"/>
          <w:sz w:val="21"/>
        </w:rPr>
        <w:t>我们建立了完善的质量管理体系，通过了 ISO 9001 质量管理体系认证，并严格按照该体系的要求进行管理和运营。我们制定了一系列质量管理制度和流程，包括原材料采购、生产过程控制、产品检验、售后服务等环节，确保产品和服务的质量符合国际标准和客户的要求。</w:t>
      </w:r>
    </w:p>
    <w:p>
      <w:pPr>
        <w:jc w:val="left"/>
      </w:pPr>
      <w:r>
        <w:rPr>
          <w:rFonts w:ascii="等线" w:hAnsi="等线"/>
          <w:b w:val="0"/>
          <w:sz w:val="21"/>
        </w:rPr>
        <w:t>在执行方面，我们加强了对员工的培训和教育，提高员工的质量意识和责任感。我们还建立了质量监督和考核机制，对产品和服务的质量进行定期检查和评估，及时发现和解决问题。同时，我们积极采用先进的质量管理技术和方法，如六西格玛管理、精益生产等，不断提高质量管理水平。</w:t>
      </w:r>
    </w:p>
    <w:p>
      <w:pPr>
        <w:jc w:val="left"/>
      </w:pPr>
      <w:r>
        <w:rPr>
          <w:rFonts w:ascii="等线" w:hAnsi="等线"/>
          <w:b w:val="0"/>
          <w:sz w:val="21"/>
        </w:rPr>
        <w:t>二、公司获得的质量管理相关的认证、主要产品和服务质量管理体系认证情况</w:t>
      </w:r>
    </w:p>
    <w:p>
      <w:pPr>
        <w:jc w:val="left"/>
      </w:pPr>
      <w:r>
        <w:rPr>
          <w:rFonts w:ascii="等线" w:hAnsi="等线"/>
          <w:b w:val="0"/>
          <w:sz w:val="21"/>
        </w:rPr>
        <w:t>除了 ISO 9001 质量管理体系认证外，我们还获得了其他相关的认证，如 ISO/TS 16949 汽车行业质量管理体系认证、ISO 14001 环境管理体系认证、OHSAS 18001 职业健康安全管理体系认证等。这些认证证明了我们在质量管理、环境保护、职业健康安全等方面的能力和水平，为我们的产品和服务提供了有力的保障。</w:t>
      </w:r>
    </w:p>
    <w:p>
      <w:pPr>
        <w:jc w:val="left"/>
      </w:pPr>
      <w:r>
        <w:rPr>
          <w:rFonts w:ascii="等线" w:hAnsi="等线"/>
          <w:b w:val="0"/>
          <w:sz w:val="21"/>
        </w:rPr>
        <w:t>三、报告期内发生的产品和服务相关的安全与质量重大责任事故，包括事件性质（如行政处罚等）、造成的影响及损害涉及的金额、采取的应对措施及进展（如有）</w:t>
      </w:r>
    </w:p>
    <w:p>
      <w:pPr>
        <w:jc w:val="left"/>
      </w:pPr>
      <w:r>
        <w:rPr>
          <w:rFonts w:ascii="等线" w:hAnsi="等线"/>
          <w:b w:val="0"/>
          <w:sz w:val="21"/>
        </w:rPr>
        <w:t>在报告期内，我们没有发生产品和服务相关的安全与质量重大责任事故。我们一直将产品和服务的安全与质量作为企业的生命线，加强了对产品和服务的安全与质量的管理和控制，确保了产品和服务的安全与质量。</w:t>
      </w:r>
    </w:p>
    <w:p>
      <w:pPr>
        <w:jc w:val="left"/>
      </w:pPr>
      <w:r>
        <w:rPr>
          <w:rFonts w:ascii="等线" w:hAnsi="等线"/>
          <w:b w:val="0"/>
          <w:sz w:val="21"/>
        </w:rPr>
        <w:t>四、售后服务、产品召回制度的建立与执行情况，针对客户投诉的受理途径、处理流程及处理情况</w:t>
      </w:r>
    </w:p>
    <w:p>
      <w:pPr>
        <w:jc w:val="left"/>
      </w:pPr>
      <w:r>
        <w:rPr>
          <w:rFonts w:ascii="等线" w:hAnsi="等线"/>
          <w:b w:val="0"/>
          <w:sz w:val="21"/>
        </w:rPr>
        <w:t>我们建立了完善的售后服务体系，为客户提供全方位的售后服务支持。我们设立了专门的售后服务热线，客户可以通过电话、邮件、传真等方式联系我们的售后服务人员，我们将及时响应客户的需求，并提供专业的技术支持和解决方案。</w:t>
      </w:r>
    </w:p>
    <w:p>
      <w:pPr>
        <w:jc w:val="left"/>
      </w:pPr>
      <w:r>
        <w:rPr>
          <w:rFonts w:ascii="等线" w:hAnsi="等线"/>
          <w:b w:val="0"/>
          <w:sz w:val="21"/>
        </w:rPr>
        <w:t>我们还建立了产品召回制度，对存在安全隐患的产品及时进行召回和处理，确保客户的安全和利益。在报告期内，我们没有发生产品召回事件。</w:t>
      </w:r>
    </w:p>
    <w:p>
      <w:pPr>
        <w:jc w:val="left"/>
      </w:pPr>
      <w:r>
        <w:rPr>
          <w:rFonts w:ascii="等线" w:hAnsi="等线"/>
          <w:b w:val="0"/>
          <w:sz w:val="21"/>
        </w:rPr>
        <w:t>针对客户投诉，我们建立了专门的受理途径和处理流程。客户可以通过电话、邮件、传真等方式向我们投诉，我们将及时受理客户的投诉，并进行调查和处理。我们将在规定的时间内回复客户的投诉处理结果，并采取措施改进我们的产品和服务质量。</w:t>
      </w:r>
    </w:p>
    <w:p>
      <w:pPr>
        <w:jc w:val="left"/>
      </w:pPr>
      <w:r>
        <w:rPr>
          <w:rFonts w:ascii="等线" w:hAnsi="等线"/>
          <w:b w:val="0"/>
          <w:sz w:val="21"/>
        </w:rPr>
        <w:t>五、产品和服务的可获得性（如普惠金融、普惠医疗等）相关信息</w:t>
      </w:r>
    </w:p>
    <w:p>
      <w:pPr>
        <w:jc w:val="left"/>
      </w:pPr>
      <w:r>
        <w:rPr>
          <w:rFonts w:ascii="等线" w:hAnsi="等线"/>
          <w:b w:val="0"/>
          <w:sz w:val="21"/>
        </w:rPr>
        <w:t>我们的产品和服务广泛应用于国际市场，为客户提供了高质量、安全可靠的汽车零部件产品和服务。我们积极拓展国际市场，加强与国际客户的合作和交流，不断提高产品和服务的可获得性。</w:t>
      </w:r>
    </w:p>
    <w:p>
      <w:pPr>
        <w:jc w:val="left"/>
      </w:pPr>
      <w:r>
        <w:rPr>
          <w:rFonts w:ascii="等线" w:hAnsi="等线"/>
          <w:b w:val="0"/>
          <w:sz w:val="21"/>
        </w:rPr>
        <w:t>同时，我们也积极参与社会公益事业，为社会做出贡献。例如，我们开展了普惠金融活动，为中小企业提供融资支持；我们开展了普惠医疗活动，为贫困地区提供医疗援助等。</w:t>
      </w:r>
    </w:p>
    <w:p>
      <w:pPr>
        <w:jc w:val="left"/>
      </w:pPr>
      <w:r>
        <w:rPr>
          <w:rFonts w:ascii="等线" w:hAnsi="等线"/>
          <w:b w:val="0"/>
          <w:sz w:val="21"/>
        </w:rPr>
        <w:t>总之，我们将继续加强产品和服务安全与质量管理，不断提高产品和服务的质量和可获得性，为客户提供更好的产品和服务，为社会做出更大的贡献。</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rPr>
                <w:sz w:val="21"/>
              </w:rPr>
              <w:t>绩效指标</w:t>
            </w:r>
          </w:p>
        </w:tc>
        <w:tc>
          <w:tcPr>
            <w:tcW w:type="dxa" w:w="1928"/>
            <w:shd w:fill="f5f2f0"/>
          </w:tcPr>
          <w:p>
            <w:r>
              <w:rPr>
                <w:sz w:val="21"/>
              </w:rPr>
              <w:t>单位</w:t>
            </w:r>
          </w:p>
        </w:tc>
        <w:tc>
          <w:tcPr>
            <w:tcW w:type="dxa" w:w="1928"/>
            <w:shd w:fill="f5f2f0"/>
          </w:tcPr>
          <w:p>
            <w:r>
              <w:rPr>
                <w:sz w:val="21"/>
              </w:rPr>
              <w:t>2021</w:t>
            </w:r>
          </w:p>
        </w:tc>
        <w:tc>
          <w:tcPr>
            <w:tcW w:type="dxa" w:w="1928"/>
            <w:shd w:fill="f5f2f0"/>
          </w:tcPr>
          <w:p>
            <w:r>
              <w:rPr>
                <w:sz w:val="21"/>
              </w:rPr>
              <w:t>2022</w:t>
            </w:r>
          </w:p>
        </w:tc>
        <w:tc>
          <w:tcPr>
            <w:tcW w:type="dxa" w:w="1928"/>
            <w:shd w:fill="f5f2f0"/>
          </w:tcPr>
          <w:p>
            <w:r>
              <w:rPr>
                <w:sz w:val="21"/>
              </w:rPr>
              <w:t>2023</w:t>
            </w:r>
          </w:p>
        </w:tc>
      </w:tr>
      <w:tr>
        <w:tc>
          <w:tcPr>
            <w:tcW w:type="dxa" w:w="1928"/>
          </w:tcPr>
          <w:p>
            <w:r>
              <w:rPr>
                <w:sz w:val="21"/>
              </w:rPr>
              <w:t>产品相关纠纷数量</w:t>
            </w:r>
          </w:p>
        </w:tc>
        <w:tc>
          <w:tcPr>
            <w:tcW w:type="dxa" w:w="1928"/>
          </w:tcPr>
          <w:p>
            <w:r>
              <w:rPr>
                <w:sz w:val="21"/>
              </w:rPr>
              <w:t>次</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产品召回次数</w:t>
            </w:r>
          </w:p>
        </w:tc>
        <w:tc>
          <w:tcPr>
            <w:tcW w:type="dxa" w:w="1928"/>
          </w:tcPr>
          <w:p>
            <w:r>
              <w:rPr>
                <w:sz w:val="21"/>
              </w:rPr>
              <w:t>次</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产品合格率</w:t>
            </w:r>
          </w:p>
        </w:tc>
        <w:tc>
          <w:tcPr>
            <w:tcW w:type="dxa" w:w="1928"/>
          </w:tcPr>
          <w:p>
            <w:r>
              <w:rPr>
                <w:sz w:val="21"/>
              </w:rPr>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客户满意度</w:t>
            </w:r>
          </w:p>
        </w:tc>
        <w:tc>
          <w:tcPr>
            <w:tcW w:type="dxa" w:w="1928"/>
          </w:tcPr>
          <w:p>
            <w:r>
              <w:rPr>
                <w:sz w:val="21"/>
              </w:rPr>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客户投诉次数</w:t>
            </w:r>
          </w:p>
        </w:tc>
        <w:tc>
          <w:tcPr>
            <w:tcW w:type="dxa" w:w="1928"/>
          </w:tcPr>
          <w:p>
            <w:r>
              <w:rPr>
                <w:sz w:val="21"/>
              </w:rPr>
            </w:r>
          </w:p>
        </w:tc>
        <w:tc>
          <w:tcPr>
            <w:tcW w:type="dxa" w:w="1928"/>
          </w:tcPr>
          <w:p>
            <w:r>
              <w:rPr>
                <w:sz w:val="21"/>
              </w:rPr>
            </w:r>
          </w:p>
        </w:tc>
        <w:tc>
          <w:tcPr>
            <w:tcW w:type="dxa" w:w="1928"/>
          </w:tcPr>
          <w:p>
            <w:r>
              <w:rPr>
                <w:sz w:val="21"/>
              </w:rPr>
            </w:r>
          </w:p>
        </w:tc>
        <w:tc>
          <w:tcPr>
            <w:tcW w:type="dxa" w:w="1928"/>
          </w:tcPr>
          <w:p>
            <w:r>
              <w:rPr>
                <w:sz w:val="21"/>
              </w:rPr>
            </w:r>
          </w:p>
        </w:tc>
      </w:tr>
    </w:tbl>
    <w:p>
      <w:pPr>
        <w:pStyle w:val="Heading2"/>
      </w:pPr>
      <w:r>
        <w:rPr>
          <w:rFonts w:ascii="等线" w:hAnsi="等线" w:eastAsia="等线"/>
          <w:color w:val="000000"/>
          <w:sz w:val="32"/>
        </w:rPr>
        <w:t>数据安全与客户隐私保护</w:t>
      </w:r>
    </w:p>
    <w:p>
      <w:pPr>
        <w:jc w:val="left"/>
      </w:pPr>
      <w:r>
        <w:rPr>
          <w:rFonts w:ascii="等线" w:hAnsi="等线"/>
          <w:b w:val="0"/>
          <w:sz w:val="21"/>
        </w:rPr>
        <w:t>社会-数据安全与客户隐私保护</w:t>
      </w:r>
    </w:p>
    <w:p>
      <w:pPr>
        <w:jc w:val="left"/>
      </w:pPr>
      <w:r>
        <w:rPr>
          <w:rFonts w:ascii="等线" w:hAnsi="等线"/>
          <w:b w:val="0"/>
          <w:sz w:val="21"/>
        </w:rPr>
        <w:t>在当今数字化时代，数据安全和客户隐私保护对于企业的可持续发展至关重要。作为一家面向国际市场的大型民营汽车零部件企业，我们高度重视数据安全和客户隐私保护，致力于建立健全的管理制度体系，采取有效措施确保数据安全和客户隐私得到充分保护。本报告将详细披露我们在数据安全与客户隐私保护方面的基本情况。</w:t>
      </w:r>
    </w:p>
    <w:p>
      <w:pPr>
        <w:jc w:val="left"/>
      </w:pPr>
      <w:r>
        <w:rPr>
          <w:rFonts w:ascii="等线" w:hAnsi="等线"/>
          <w:b w:val="0"/>
          <w:sz w:val="21"/>
        </w:rPr>
        <w:t>一、数据安全管理制度体系建立与运行情况及具体措施，获得的认证情况</w:t>
      </w:r>
    </w:p>
    <w:p>
      <w:pPr>
        <w:jc w:val="left"/>
      </w:pPr>
      <w:r>
        <w:rPr>
          <w:rFonts w:ascii="等线" w:hAnsi="等线"/>
          <w:b w:val="0"/>
          <w:sz w:val="21"/>
        </w:rPr>
        <w:t>我们建立了完善的数据安全管理制度体系，包括数据分类分级、访问控制、数据备份与恢复、安全审计等方面的制度和流程。同时，我们还加强了员工的数据安全意识培训，提高员工对数据安全的重视程度和防范意识。</w:t>
      </w:r>
    </w:p>
    <w:p>
      <w:pPr>
        <w:jc w:val="left"/>
      </w:pPr>
      <w:r>
        <w:rPr>
          <w:rFonts w:ascii="等线" w:hAnsi="等线"/>
          <w:b w:val="0"/>
          <w:sz w:val="21"/>
        </w:rPr>
        <w:t>在具体措施方面，我们采用了先进的技术手段，如加密技术、访问控制技术、防火墙技术等，确保数据的安全性和完整性。我们还定期进行数据安全风险评估和漏洞扫描，及时发现和修复潜在的安全隐患。</w:t>
      </w:r>
    </w:p>
    <w:p>
      <w:pPr>
        <w:jc w:val="left"/>
      </w:pPr>
      <w:r>
        <w:rPr>
          <w:rFonts w:ascii="等线" w:hAnsi="等线"/>
          <w:b w:val="0"/>
          <w:sz w:val="21"/>
        </w:rPr>
        <w:t>此外，我们还获得了国际上通用的数据安全认证，如 ISO27001 信息安全管理体系认证，进一步证明了我们在数据安全管理方面的能力和水平。</w:t>
      </w:r>
    </w:p>
    <w:p>
      <w:pPr>
        <w:jc w:val="left"/>
      </w:pPr>
      <w:r>
        <w:rPr>
          <w:rFonts w:ascii="等线" w:hAnsi="等线"/>
          <w:b w:val="0"/>
          <w:sz w:val="21"/>
        </w:rPr>
        <w:t>二、报告期内发生的数据安全事件的具体情况，包括造成的影响、涉及的金额、采取的应对措施及进展</w:t>
      </w:r>
    </w:p>
    <w:p>
      <w:pPr>
        <w:jc w:val="left"/>
      </w:pPr>
      <w:r>
        <w:rPr>
          <w:rFonts w:ascii="等线" w:hAnsi="等线"/>
          <w:b w:val="0"/>
          <w:sz w:val="21"/>
        </w:rPr>
        <w:t>在报告期内，我们没有发生重大的数据安全事件。但是，我们也意识到数据安全是一个持续的挑战，我们将不断加强数据安全管理，提高应对数据安全事件的能力。</w:t>
      </w:r>
    </w:p>
    <w:p>
      <w:pPr>
        <w:jc w:val="left"/>
      </w:pPr>
      <w:r>
        <w:rPr>
          <w:rFonts w:ascii="等线" w:hAnsi="等线"/>
          <w:b w:val="0"/>
          <w:sz w:val="21"/>
        </w:rPr>
        <w:t>三、客户隐私保护制度体系建设与运行情况</w:t>
      </w:r>
    </w:p>
    <w:p>
      <w:pPr>
        <w:jc w:val="left"/>
      </w:pPr>
      <w:r>
        <w:rPr>
          <w:rFonts w:ascii="等线" w:hAnsi="等线"/>
          <w:b w:val="0"/>
          <w:sz w:val="21"/>
        </w:rPr>
        <w:t>我们建立了完善的客户隐私保护制度体系，包括客户信息收集、存储、使用、共享等方面的制度和流程。我们严格遵守相关法律法规和行业规范，确保客户隐私得到充分保护。</w:t>
      </w:r>
    </w:p>
    <w:p>
      <w:pPr>
        <w:jc w:val="left"/>
      </w:pPr>
      <w:r>
        <w:rPr>
          <w:rFonts w:ascii="等线" w:hAnsi="等线"/>
          <w:b w:val="0"/>
          <w:sz w:val="21"/>
        </w:rPr>
        <w:t>在客户信息收集方面，我们遵循合法、正当、必要的原则，明确告知客户信息收集的目的、方式和范围，并获得客户的同意。在客户信息存储方面，我们采用了安全的存储方式，确保客户信息不被泄露。在客户信息使用方面，我们严格按照客户的授权进行使用，不将客户信息用于其他目的。在客户信息共享方面，我们遵循合法、正当、必要的原则，与合作伙伴签订保密协议，确保客户信息不被泄露。</w:t>
      </w:r>
    </w:p>
    <w:p>
      <w:pPr>
        <w:jc w:val="left"/>
      </w:pPr>
      <w:r>
        <w:rPr>
          <w:rFonts w:ascii="等线" w:hAnsi="等线"/>
          <w:b w:val="0"/>
          <w:sz w:val="21"/>
        </w:rPr>
        <w:t>四、报告期内发生的泄露客户隐私事件的具体情况，包括造成的影响、涉及的金额、采取的应对措施及进展</w:t>
      </w:r>
    </w:p>
    <w:p>
      <w:pPr>
        <w:jc w:val="left"/>
      </w:pPr>
      <w:r>
        <w:rPr>
          <w:rFonts w:ascii="等线" w:hAnsi="等线"/>
          <w:b w:val="0"/>
          <w:sz w:val="21"/>
        </w:rPr>
        <w:t>在报告期内，我们没有发生泄露客户隐私的事件。我们将继续加强客户隐私保护管理，不断完善客户隐私保护制度体系，提高员工的客户隐私保护意识，确保客户隐私得到充分保护。</w:t>
      </w:r>
    </w:p>
    <w:p>
      <w:pPr>
        <w:jc w:val="left"/>
      </w:pPr>
      <w:r>
        <w:rPr>
          <w:rFonts w:ascii="等线" w:hAnsi="等线"/>
          <w:b w:val="0"/>
          <w:sz w:val="21"/>
        </w:rPr>
        <w:t>总之，我们高度重视数据安全和客户隐私保护，将继续加强数据安全管理和客户隐私保护管理，不断完善制度体系，采取有效措施确保数据安全和客户隐私得到充分保护。</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rPr>
                <w:sz w:val="21"/>
              </w:rPr>
              <w:t>绩效指标</w:t>
            </w:r>
          </w:p>
        </w:tc>
        <w:tc>
          <w:tcPr>
            <w:tcW w:type="dxa" w:w="1928"/>
            <w:shd w:fill="f5f2f0"/>
          </w:tcPr>
          <w:p>
            <w:r>
              <w:rPr>
                <w:sz w:val="21"/>
              </w:rPr>
              <w:t>单位</w:t>
            </w:r>
          </w:p>
        </w:tc>
        <w:tc>
          <w:tcPr>
            <w:tcW w:type="dxa" w:w="1928"/>
            <w:shd w:fill="f5f2f0"/>
          </w:tcPr>
          <w:p>
            <w:r>
              <w:rPr>
                <w:sz w:val="21"/>
              </w:rPr>
              <w:t>2021</w:t>
            </w:r>
          </w:p>
        </w:tc>
        <w:tc>
          <w:tcPr>
            <w:tcW w:type="dxa" w:w="1928"/>
            <w:shd w:fill="f5f2f0"/>
          </w:tcPr>
          <w:p>
            <w:r>
              <w:rPr>
                <w:sz w:val="21"/>
              </w:rPr>
              <w:t>2022</w:t>
            </w:r>
          </w:p>
        </w:tc>
        <w:tc>
          <w:tcPr>
            <w:tcW w:type="dxa" w:w="1928"/>
            <w:shd w:fill="f5f2f0"/>
          </w:tcPr>
          <w:p>
            <w:r>
              <w:rPr>
                <w:sz w:val="21"/>
              </w:rPr>
              <w:t>2023</w:t>
            </w:r>
          </w:p>
        </w:tc>
      </w:tr>
      <w:tr>
        <w:tc>
          <w:tcPr>
            <w:tcW w:type="dxa" w:w="1928"/>
          </w:tcPr>
          <w:p>
            <w:r>
              <w:rPr>
                <w:sz w:val="21"/>
              </w:rPr>
              <w:t>网络安全事件数量</w:t>
            </w:r>
          </w:p>
        </w:tc>
        <w:tc>
          <w:tcPr>
            <w:tcW w:type="dxa" w:w="1928"/>
          </w:tcPr>
          <w:p>
            <w:r>
              <w:rPr>
                <w:sz w:val="21"/>
              </w:rPr>
              <w:t>次</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隐私泄露事件数量</w:t>
            </w:r>
          </w:p>
        </w:tc>
        <w:tc>
          <w:tcPr>
            <w:tcW w:type="dxa" w:w="1928"/>
          </w:tcPr>
          <w:p>
            <w:r>
              <w:rPr>
                <w:sz w:val="21"/>
              </w:rPr>
              <w:t>次</w:t>
            </w:r>
          </w:p>
        </w:tc>
        <w:tc>
          <w:tcPr>
            <w:tcW w:type="dxa" w:w="1928"/>
          </w:tcPr>
          <w:p>
            <w:r>
              <w:rPr>
                <w:sz w:val="21"/>
              </w:rPr>
            </w:r>
          </w:p>
        </w:tc>
        <w:tc>
          <w:tcPr>
            <w:tcW w:type="dxa" w:w="1928"/>
          </w:tcPr>
          <w:p>
            <w:r>
              <w:rPr>
                <w:sz w:val="21"/>
              </w:rPr>
            </w:r>
          </w:p>
        </w:tc>
        <w:tc>
          <w:tcPr>
            <w:tcW w:type="dxa" w:w="1928"/>
          </w:tcPr>
          <w:p>
            <w:r>
              <w:rPr>
                <w:sz w:val="21"/>
              </w:rPr>
            </w:r>
          </w:p>
        </w:tc>
      </w:tr>
    </w:tbl>
    <w:p>
      <w:pPr>
        <w:pStyle w:val="Heading2"/>
      </w:pPr>
      <w:r>
        <w:rPr>
          <w:rFonts w:ascii="等线" w:hAnsi="等线" w:eastAsia="等线"/>
          <w:color w:val="000000"/>
          <w:sz w:val="32"/>
        </w:rPr>
        <w:t>员工</w:t>
      </w:r>
    </w:p>
    <w:p>
      <w:pPr>
        <w:jc w:val="left"/>
      </w:pPr>
      <w:r>
        <w:rPr>
          <w:rFonts w:ascii="等线" w:hAnsi="等线"/>
          <w:b w:val="0"/>
          <w:sz w:val="21"/>
        </w:rPr>
        <w:t>以下是一个面向国际市场的大型民营汽车零部件企业 ESG 报告中社会-员工的内容模板：</w:t>
      </w:r>
    </w:p>
    <w:p>
      <w:pPr>
        <w:jc w:val="left"/>
      </w:pPr>
      <w:r>
        <w:rPr>
          <w:rFonts w:ascii="等线" w:hAnsi="等线"/>
          <w:b w:val="0"/>
          <w:sz w:val="21"/>
        </w:rPr>
        <w:t>员工权益保护</w:t>
      </w:r>
    </w:p>
    <w:p>
      <w:pPr>
        <w:jc w:val="left"/>
      </w:pPr>
      <w:r>
        <w:rPr>
          <w:rFonts w:ascii="等线" w:hAnsi="等线"/>
          <w:b w:val="0"/>
          <w:sz w:val="21"/>
        </w:rPr>
        <w:t>我们致力于依法保护员工的合法权益，为员工提供健康与安全的工作条件。在报告期内，我们及时支付员工薪酬，缴纳员工社保，加强员工培训，并建立了合理有效的员工申诉制度。</w:t>
      </w:r>
    </w:p>
    <w:p>
      <w:pPr>
        <w:jc w:val="left"/>
      </w:pPr>
      <w:r>
        <w:rPr>
          <w:rFonts w:ascii="等线" w:hAnsi="等线"/>
          <w:b w:val="0"/>
          <w:sz w:val="21"/>
        </w:rPr>
        <w:t>员工总体情况</w:t>
      </w:r>
    </w:p>
    <w:p>
      <w:pPr>
        <w:jc w:val="left"/>
      </w:pPr>
      <w:r>
        <w:rPr>
          <w:rFonts w:ascii="等线" w:hAnsi="等线"/>
          <w:b w:val="0"/>
          <w:sz w:val="21"/>
        </w:rPr>
        <w:t>1. 员工聘用与待遇：</w:t>
      </w:r>
    </w:p>
    <w:p>
      <w:pPr>
        <w:ind w:left="480"/>
        <w:jc w:val="left"/>
      </w:pPr>
      <w:r>
        <w:rPr>
          <w:rFonts w:ascii="等线" w:hAnsi="等线"/>
          <w:b w:val="0"/>
          <w:sz w:val="21"/>
        </w:rPr>
        <w:t>◦ 报告期内，我们吸纳了</w:t>
      </w:r>
      <w:r>
        <w:rPr>
          <w:rFonts w:ascii="等线" w:hAnsi="等线"/>
          <w:b w:val="0"/>
          <w:sz w:val="21"/>
          <w:highlight w:val="yellow"/>
        </w:rPr>
        <w:t>[具体人数]</w:t>
      </w:r>
      <w:r>
        <w:rPr>
          <w:rFonts w:ascii="等线" w:hAnsi="等线"/>
          <w:b w:val="0"/>
          <w:sz w:val="21"/>
        </w:rPr>
        <w:t>的就业人员，并创造了</w:t>
      </w:r>
      <w:r>
        <w:rPr>
          <w:rFonts w:ascii="等线" w:hAnsi="等线"/>
          <w:b w:val="0"/>
          <w:sz w:val="21"/>
          <w:highlight w:val="yellow"/>
        </w:rPr>
        <w:t>[具体数量]</w:t>
      </w:r>
      <w:r>
        <w:rPr>
          <w:rFonts w:ascii="等线" w:hAnsi="等线"/>
          <w:b w:val="0"/>
          <w:sz w:val="21"/>
        </w:rPr>
        <w:t>的灵活就业岗位。</w:t>
      </w:r>
    </w:p>
    <w:p>
      <w:pPr>
        <w:ind w:left="480"/>
        <w:jc w:val="left"/>
      </w:pPr>
      <w:r>
        <w:rPr>
          <w:rFonts w:ascii="等线" w:hAnsi="等线"/>
          <w:b w:val="0"/>
          <w:sz w:val="21"/>
        </w:rPr>
        <w:t>◦ 期末在职员工的性别构成情况为</w:t>
      </w:r>
      <w:r>
        <w:rPr>
          <w:rFonts w:ascii="等线" w:hAnsi="等线"/>
          <w:b w:val="0"/>
          <w:sz w:val="21"/>
          <w:highlight w:val="yellow"/>
        </w:rPr>
        <w:t>[男性比例]</w:t>
      </w:r>
      <w:r>
        <w:rPr>
          <w:rFonts w:ascii="等线" w:hAnsi="等线"/>
          <w:b w:val="0"/>
          <w:sz w:val="21"/>
        </w:rPr>
        <w:t>%和</w:t>
      </w:r>
      <w:r>
        <w:rPr>
          <w:rFonts w:ascii="等线" w:hAnsi="等线"/>
          <w:b w:val="0"/>
          <w:sz w:val="21"/>
          <w:highlight w:val="yellow"/>
        </w:rPr>
        <w:t>[女性比例]</w:t>
      </w:r>
      <w:r>
        <w:rPr>
          <w:rFonts w:ascii="等线" w:hAnsi="等线"/>
          <w:b w:val="0"/>
          <w:sz w:val="21"/>
        </w:rPr>
        <w:t>%，年龄构成情况为</w:t>
      </w:r>
      <w:r>
        <w:rPr>
          <w:rFonts w:ascii="等线" w:hAnsi="等线"/>
          <w:b w:val="0"/>
          <w:sz w:val="21"/>
          <w:highlight w:val="yellow"/>
        </w:rPr>
        <w:t>[年龄段分布]</w:t>
      </w:r>
      <w:r>
        <w:rPr>
          <w:rFonts w:ascii="等线" w:hAnsi="等线"/>
          <w:b w:val="0"/>
          <w:sz w:val="21"/>
        </w:rPr>
        <w:t>。</w:t>
      </w:r>
    </w:p>
    <w:p>
      <w:pPr>
        <w:ind w:left="480"/>
        <w:jc w:val="left"/>
      </w:pPr>
      <w:r>
        <w:rPr>
          <w:rFonts w:ascii="等线" w:hAnsi="等线"/>
          <w:b w:val="0"/>
          <w:sz w:val="21"/>
        </w:rPr>
        <w:t>◦ 我们严格按照相关法律法规支付员工工资，并按时缴纳员工社保。公司没有发生劳工纠纷。</w:t>
      </w:r>
    </w:p>
    <w:p>
      <w:pPr>
        <w:ind w:left="480"/>
        <w:jc w:val="left"/>
      </w:pPr>
      <w:r>
        <w:rPr>
          <w:rFonts w:ascii="等线" w:hAnsi="等线"/>
          <w:b w:val="0"/>
          <w:sz w:val="21"/>
        </w:rPr>
        <w:t>◦ 我们对灵活就业人员的权益保障给予了充分关注，确保他们享有与正式员工同等的待遇。</w:t>
      </w:r>
    </w:p>
    <w:p>
      <w:pPr>
        <w:ind w:left="480"/>
        <w:jc w:val="left"/>
      </w:pPr>
      <w:r>
        <w:rPr>
          <w:rFonts w:ascii="等线" w:hAnsi="等线"/>
          <w:b w:val="0"/>
          <w:sz w:val="21"/>
        </w:rPr>
        <w:t>◦ 我们的招聘录用程序合规且公平透明，遵循了国际通用的招聘原则和标准。</w:t>
      </w:r>
    </w:p>
    <w:p>
      <w:pPr>
        <w:jc w:val="left"/>
      </w:pPr>
      <w:r>
        <w:rPr>
          <w:rFonts w:ascii="等线" w:hAnsi="等线"/>
          <w:b w:val="0"/>
          <w:sz w:val="21"/>
        </w:rPr>
        <w:t>2. 职业健康与安全：</w:t>
      </w:r>
    </w:p>
    <w:p>
      <w:pPr>
        <w:ind w:left="480"/>
        <w:jc w:val="left"/>
      </w:pPr>
      <w:r>
        <w:rPr>
          <w:rFonts w:ascii="等线" w:hAnsi="等线"/>
          <w:b w:val="0"/>
          <w:sz w:val="21"/>
        </w:rPr>
        <w:t>◦ 我们对公司的职业安全风险及来源进行了全面的识别与评估，并制定了相应的风险管理措施。</w:t>
      </w:r>
    </w:p>
    <w:p>
      <w:pPr>
        <w:ind w:left="480"/>
        <w:jc w:val="left"/>
      </w:pPr>
      <w:r>
        <w:rPr>
          <w:rFonts w:ascii="等线" w:hAnsi="等线"/>
          <w:b w:val="0"/>
          <w:sz w:val="21"/>
        </w:rPr>
        <w:t>◦ 建立了完善的职业健康安全管理体系，并获得了</w:t>
      </w:r>
      <w:r>
        <w:rPr>
          <w:rFonts w:ascii="等线" w:hAnsi="等线"/>
          <w:b w:val="0"/>
          <w:sz w:val="21"/>
          <w:highlight w:val="yellow"/>
        </w:rPr>
        <w:t>[相关资质认证]</w:t>
      </w:r>
      <w:r>
        <w:rPr>
          <w:rFonts w:ascii="等线" w:hAnsi="等线"/>
          <w:b w:val="0"/>
          <w:sz w:val="21"/>
        </w:rPr>
        <w:t>。</w:t>
      </w:r>
    </w:p>
    <w:p>
      <w:pPr>
        <w:ind w:left="480"/>
        <w:jc w:val="left"/>
      </w:pPr>
      <w:r>
        <w:rPr>
          <w:rFonts w:ascii="等线" w:hAnsi="等线"/>
          <w:b w:val="0"/>
          <w:sz w:val="21"/>
        </w:rPr>
        <w:t>◦ 定期组织员工进行职业健康安全培训，提高员工的安全意识和应急处理能力。</w:t>
      </w:r>
    </w:p>
    <w:p>
      <w:pPr>
        <w:ind w:left="480"/>
        <w:jc w:val="left"/>
      </w:pPr>
      <w:r>
        <w:rPr>
          <w:rFonts w:ascii="等线" w:hAnsi="等线"/>
          <w:b w:val="0"/>
          <w:sz w:val="21"/>
        </w:rPr>
        <w:t>◦ 工伤保险和安全生产责任险的投入金额为</w:t>
      </w:r>
      <w:r>
        <w:rPr>
          <w:rFonts w:ascii="等线" w:hAnsi="等线"/>
          <w:b w:val="0"/>
          <w:sz w:val="21"/>
          <w:highlight w:val="yellow"/>
        </w:rPr>
        <w:t>[具体金额]</w:t>
      </w:r>
      <w:r>
        <w:rPr>
          <w:rFonts w:ascii="等线" w:hAnsi="等线"/>
          <w:b w:val="0"/>
          <w:sz w:val="21"/>
        </w:rPr>
        <w:t>，人员覆盖率达到了</w:t>
      </w:r>
      <w:r>
        <w:rPr>
          <w:rFonts w:ascii="等线" w:hAnsi="等线"/>
          <w:b w:val="0"/>
          <w:sz w:val="21"/>
          <w:highlight w:val="yellow"/>
        </w:rPr>
        <w:t>[具体比例]</w:t>
      </w:r>
      <w:r>
        <w:rPr>
          <w:rFonts w:ascii="等线" w:hAnsi="等线"/>
          <w:b w:val="0"/>
          <w:sz w:val="21"/>
        </w:rPr>
        <w:t>。</w:t>
      </w:r>
    </w:p>
    <w:p>
      <w:pPr>
        <w:ind w:left="480"/>
        <w:jc w:val="left"/>
      </w:pPr>
      <w:r>
        <w:rPr>
          <w:rFonts w:ascii="等线" w:hAnsi="等线"/>
          <w:b w:val="0"/>
          <w:sz w:val="21"/>
        </w:rPr>
        <w:t>◦ 报告期内，我们发生了</w:t>
      </w:r>
      <w:r>
        <w:rPr>
          <w:rFonts w:ascii="等线" w:hAnsi="等线"/>
          <w:b w:val="0"/>
          <w:sz w:val="21"/>
          <w:highlight w:val="yellow"/>
        </w:rPr>
        <w:t>[具体数量]</w:t>
      </w:r>
      <w:r>
        <w:rPr>
          <w:rFonts w:ascii="等线" w:hAnsi="等线"/>
          <w:b w:val="0"/>
          <w:sz w:val="21"/>
        </w:rPr>
        <w:t>起安全事故，并采取了及时有效的措施进行处理和整改。</w:t>
      </w:r>
    </w:p>
    <w:p>
      <w:pPr>
        <w:jc w:val="left"/>
      </w:pPr>
      <w:r>
        <w:rPr>
          <w:rFonts w:ascii="等线" w:hAnsi="等线"/>
          <w:b w:val="0"/>
          <w:sz w:val="21"/>
        </w:rPr>
        <w:t>3. 员工职业发展与培训：</w:t>
      </w:r>
    </w:p>
    <w:p>
      <w:pPr>
        <w:ind w:left="480"/>
        <w:jc w:val="left"/>
      </w:pPr>
      <w:r>
        <w:rPr>
          <w:rFonts w:ascii="等线" w:hAnsi="等线"/>
          <w:b w:val="0"/>
          <w:sz w:val="21"/>
        </w:rPr>
        <w:t>◦ 公司设置了完善的职位体系，为员工提供了广阔的晋升和发展空间。</w:t>
      </w:r>
    </w:p>
    <w:p>
      <w:pPr>
        <w:ind w:left="480"/>
        <w:jc w:val="left"/>
      </w:pPr>
      <w:r>
        <w:rPr>
          <w:rFonts w:ascii="等线" w:hAnsi="等线"/>
          <w:b w:val="0"/>
          <w:sz w:val="21"/>
        </w:rPr>
        <w:t>◦ 建立了员工晋升、选拔与职业发展机制，确保员工的职业发展得到充分支持。</w:t>
      </w:r>
    </w:p>
    <w:p>
      <w:pPr>
        <w:ind w:left="480"/>
        <w:jc w:val="left"/>
      </w:pPr>
      <w:r>
        <w:rPr>
          <w:rFonts w:ascii="等线" w:hAnsi="等线"/>
          <w:b w:val="0"/>
          <w:sz w:val="21"/>
        </w:rPr>
        <w:t>◦ 提供了多种类型的员工培训，包括技能培训、管理培训、安全培训等。报告期内，共组织了</w:t>
      </w:r>
      <w:r>
        <w:rPr>
          <w:rFonts w:ascii="等线" w:hAnsi="等线"/>
          <w:b w:val="0"/>
          <w:sz w:val="21"/>
          <w:highlight w:val="yellow"/>
        </w:rPr>
        <w:t>[具体次数]</w:t>
      </w:r>
      <w:r>
        <w:rPr>
          <w:rFonts w:ascii="等线" w:hAnsi="等线"/>
          <w:b w:val="0"/>
          <w:sz w:val="21"/>
        </w:rPr>
        <w:t>次培训，员工培训覆盖率达到了</w:t>
      </w:r>
      <w:r>
        <w:rPr>
          <w:rFonts w:ascii="等线" w:hAnsi="等线"/>
          <w:b w:val="0"/>
          <w:sz w:val="21"/>
          <w:highlight w:val="yellow"/>
        </w:rPr>
        <w:t>[具体比例]</w:t>
      </w:r>
      <w:r>
        <w:rPr>
          <w:rFonts w:ascii="等线" w:hAnsi="等线"/>
          <w:b w:val="0"/>
          <w:sz w:val="21"/>
        </w:rPr>
        <w:t>。</w:t>
      </w:r>
    </w:p>
    <w:p>
      <w:pPr>
        <w:ind w:left="480"/>
        <w:jc w:val="left"/>
      </w:pPr>
      <w:r>
        <w:rPr>
          <w:rFonts w:ascii="等线" w:hAnsi="等线"/>
          <w:b w:val="0"/>
          <w:sz w:val="21"/>
        </w:rPr>
        <w:t>◦ 年度培训支出金额为</w:t>
      </w:r>
      <w:r>
        <w:rPr>
          <w:rFonts w:ascii="等线" w:hAnsi="等线"/>
          <w:b w:val="0"/>
          <w:sz w:val="21"/>
          <w:highlight w:val="yellow"/>
        </w:rPr>
        <w:t>[具体金额]</w:t>
      </w:r>
      <w:r>
        <w:rPr>
          <w:rFonts w:ascii="等线" w:hAnsi="等线"/>
          <w:b w:val="0"/>
          <w:sz w:val="21"/>
        </w:rPr>
        <w:t>，以不断提升员工的专业素质和综合能力。</w:t>
      </w:r>
    </w:p>
    <w:p>
      <w:pPr>
        <w:jc w:val="left"/>
      </w:pPr>
      <w:r>
        <w:rPr>
          <w:rFonts w:ascii="等线" w:hAnsi="等线"/>
          <w:b w:val="0"/>
          <w:sz w:val="21"/>
        </w:rPr>
        <w:t>未来展望</w:t>
      </w:r>
    </w:p>
    <w:p>
      <w:pPr>
        <w:jc w:val="left"/>
      </w:pPr>
      <w:r>
        <w:rPr>
          <w:rFonts w:ascii="等线" w:hAnsi="等线"/>
          <w:b w:val="0"/>
          <w:sz w:val="21"/>
        </w:rPr>
        <w:t>我们将继续关注员工的权益保护和发展，不断完善员工权益保障体系，提高员工的福利待遇和工作条件。同时，我们将加强职业健康与安全管理，持续降低安全事故发生率。此外，我们将进一步加大员工培训力度，提升员工的职业发展能力，为公司的可持续发展提供坚实的人才支持。</w:t>
      </w:r>
    </w:p>
    <w:p>
      <w:pPr>
        <w:jc w:val="left"/>
      </w:pPr>
      <w:r>
        <w:rPr>
          <w:rFonts w:ascii="等线" w:hAnsi="等线"/>
          <w:b w:val="0"/>
          <w:sz w:val="21"/>
        </w:rPr>
        <w:t>以上内容仅供参考，你可以根据实际情况进行调整和补充。在撰写 ESG 报告时，建议参考相关的国际标准和指南，以确保报告的准确性和可信度。</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rPr>
                <w:sz w:val="21"/>
              </w:rPr>
              <w:t>绩效指标</w:t>
            </w:r>
          </w:p>
        </w:tc>
        <w:tc>
          <w:tcPr>
            <w:tcW w:type="dxa" w:w="1928"/>
            <w:shd w:fill="f5f2f0"/>
          </w:tcPr>
          <w:p>
            <w:r>
              <w:rPr>
                <w:sz w:val="21"/>
              </w:rPr>
              <w:t>单位</w:t>
            </w:r>
          </w:p>
        </w:tc>
        <w:tc>
          <w:tcPr>
            <w:tcW w:type="dxa" w:w="1928"/>
            <w:shd w:fill="f5f2f0"/>
          </w:tcPr>
          <w:p>
            <w:r>
              <w:rPr>
                <w:sz w:val="21"/>
              </w:rPr>
              <w:t>2021</w:t>
            </w:r>
          </w:p>
        </w:tc>
        <w:tc>
          <w:tcPr>
            <w:tcW w:type="dxa" w:w="1928"/>
            <w:shd w:fill="f5f2f0"/>
          </w:tcPr>
          <w:p>
            <w:r>
              <w:rPr>
                <w:sz w:val="21"/>
              </w:rPr>
              <w:t>2022</w:t>
            </w:r>
          </w:p>
        </w:tc>
        <w:tc>
          <w:tcPr>
            <w:tcW w:type="dxa" w:w="1928"/>
            <w:shd w:fill="f5f2f0"/>
          </w:tcPr>
          <w:p>
            <w:r>
              <w:rPr>
                <w:sz w:val="21"/>
              </w:rPr>
              <w:t>2023</w:t>
            </w:r>
          </w:p>
        </w:tc>
      </w:tr>
      <w:tr>
        <w:tc>
          <w:tcPr>
            <w:tcW w:type="dxa" w:w="1928"/>
          </w:tcPr>
          <w:p>
            <w:r>
              <w:rPr>
                <w:sz w:val="21"/>
              </w:rPr>
              <w:t>员工人数：男性</w:t>
            </w:r>
          </w:p>
        </w:tc>
        <w:tc>
          <w:tcPr>
            <w:tcW w:type="dxa" w:w="1928"/>
          </w:tcPr>
          <w:p>
            <w:r>
              <w:rPr>
                <w:sz w:val="21"/>
              </w:rPr>
              <w:t>人</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员工人数：女性</w:t>
            </w:r>
          </w:p>
        </w:tc>
        <w:tc>
          <w:tcPr>
            <w:tcW w:type="dxa" w:w="1928"/>
          </w:tcPr>
          <w:p>
            <w:r>
              <w:rPr>
                <w:sz w:val="21"/>
              </w:rPr>
              <w:t>人</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离职人数</w:t>
            </w:r>
          </w:p>
        </w:tc>
        <w:tc>
          <w:tcPr>
            <w:tcW w:type="dxa" w:w="1928"/>
          </w:tcPr>
          <w:p>
            <w:r>
              <w:rPr>
                <w:sz w:val="21"/>
              </w:rPr>
              <w:t>人</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离职人数：男性</w:t>
            </w:r>
          </w:p>
        </w:tc>
        <w:tc>
          <w:tcPr>
            <w:tcW w:type="dxa" w:w="1928"/>
          </w:tcPr>
          <w:p>
            <w:r>
              <w:rPr>
                <w:sz w:val="21"/>
              </w:rPr>
              <w:t>人</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离职人数：女性</w:t>
            </w:r>
          </w:p>
        </w:tc>
        <w:tc>
          <w:tcPr>
            <w:tcW w:type="dxa" w:w="1928"/>
          </w:tcPr>
          <w:p>
            <w:r>
              <w:rPr>
                <w:sz w:val="21"/>
              </w:rPr>
              <w:t>人</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员工人数</w:t>
            </w:r>
          </w:p>
        </w:tc>
        <w:tc>
          <w:tcPr>
            <w:tcW w:type="dxa" w:w="1928"/>
          </w:tcPr>
          <w:p>
            <w:r>
              <w:rPr>
                <w:sz w:val="21"/>
              </w:rPr>
              <w:t>人</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员工培训时长</w:t>
            </w:r>
          </w:p>
        </w:tc>
        <w:tc>
          <w:tcPr>
            <w:tcW w:type="dxa" w:w="1928"/>
          </w:tcPr>
          <w:p>
            <w:r>
              <w:rPr>
                <w:sz w:val="21"/>
              </w:rPr>
              <w:t>小时</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员工培训时长：男性</w:t>
            </w:r>
          </w:p>
        </w:tc>
        <w:tc>
          <w:tcPr>
            <w:tcW w:type="dxa" w:w="1928"/>
          </w:tcPr>
          <w:p>
            <w:r>
              <w:rPr>
                <w:sz w:val="21"/>
              </w:rPr>
              <w:t>小时</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员工培训时长：女性</w:t>
            </w:r>
          </w:p>
        </w:tc>
        <w:tc>
          <w:tcPr>
            <w:tcW w:type="dxa" w:w="1928"/>
          </w:tcPr>
          <w:p>
            <w:r>
              <w:rPr>
                <w:sz w:val="21"/>
              </w:rPr>
              <w:t>小时</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工伤人数</w:t>
            </w:r>
          </w:p>
        </w:tc>
        <w:tc>
          <w:tcPr>
            <w:tcW w:type="dxa" w:w="1928"/>
          </w:tcPr>
          <w:p>
            <w:r>
              <w:rPr>
                <w:sz w:val="21"/>
              </w:rPr>
              <w:t>人</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工亡人数</w:t>
            </w:r>
          </w:p>
        </w:tc>
        <w:tc>
          <w:tcPr>
            <w:tcW w:type="dxa" w:w="1928"/>
          </w:tcPr>
          <w:p>
            <w:r>
              <w:rPr>
                <w:sz w:val="21"/>
              </w:rPr>
              <w:t>人</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工伤率（工伤/百万工时）</w:t>
            </w:r>
          </w:p>
        </w:tc>
        <w:tc>
          <w:tcPr>
            <w:tcW w:type="dxa" w:w="1928"/>
          </w:tcPr>
          <w:p>
            <w:r>
              <w:rPr>
                <w:sz w:val="21"/>
              </w:rPr>
              <w:t>人次</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工亡率（工亡/百万工时）</w:t>
            </w:r>
          </w:p>
        </w:tc>
        <w:tc>
          <w:tcPr>
            <w:tcW w:type="dxa" w:w="1928"/>
          </w:tcPr>
          <w:p>
            <w:r>
              <w:rPr>
                <w:sz w:val="21"/>
              </w:rPr>
              <w:t>人次</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社保覆盖率</w:t>
            </w:r>
          </w:p>
        </w:tc>
        <w:tc>
          <w:tcPr>
            <w:tcW w:type="dxa" w:w="1928"/>
          </w:tcPr>
          <w:p>
            <w:r>
              <w:rPr>
                <w:sz w:val="21"/>
              </w:rPr>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人均带薪年休假天数</w:t>
            </w:r>
          </w:p>
        </w:tc>
        <w:tc>
          <w:tcPr>
            <w:tcW w:type="dxa" w:w="1928"/>
          </w:tcPr>
          <w:p>
            <w:r>
              <w:rPr>
                <w:sz w:val="21"/>
              </w:rPr>
              <w:t>天</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员工离职率</w:t>
            </w:r>
          </w:p>
        </w:tc>
        <w:tc>
          <w:tcPr>
            <w:tcW w:type="dxa" w:w="1928"/>
          </w:tcPr>
          <w:p>
            <w:r>
              <w:rPr>
                <w:sz w:val="21"/>
              </w:rPr>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员工人均培训时长</w:t>
            </w:r>
          </w:p>
        </w:tc>
        <w:tc>
          <w:tcPr>
            <w:tcW w:type="dxa" w:w="1928"/>
          </w:tcPr>
          <w:p>
            <w:r>
              <w:rPr>
                <w:sz w:val="21"/>
              </w:rPr>
              <w:t>小时</w:t>
            </w:r>
          </w:p>
        </w:tc>
        <w:tc>
          <w:tcPr>
            <w:tcW w:type="dxa" w:w="1928"/>
          </w:tcPr>
          <w:p>
            <w:r>
              <w:rPr>
                <w:sz w:val="21"/>
              </w:rPr>
            </w:r>
          </w:p>
        </w:tc>
        <w:tc>
          <w:tcPr>
            <w:tcW w:type="dxa" w:w="1928"/>
          </w:tcPr>
          <w:p>
            <w:r>
              <w:rPr>
                <w:sz w:val="21"/>
              </w:rPr>
            </w:r>
          </w:p>
        </w:tc>
        <w:tc>
          <w:tcPr>
            <w:tcW w:type="dxa" w:w="1928"/>
          </w:tcPr>
          <w:p>
            <w:r>
              <w:rPr>
                <w:sz w:val="21"/>
              </w:rPr>
            </w:r>
          </w:p>
        </w:tc>
      </w:tr>
    </w:tbl>
    <w:p>
      <w:pPr>
        <w:pStyle w:val="Heading2"/>
      </w:pPr>
      <w:r>
        <w:rPr>
          <w:rFonts w:ascii="等线" w:hAnsi="等线" w:eastAsia="等线"/>
          <w:color w:val="000000"/>
          <w:sz w:val="32"/>
        </w:rPr>
        <w:t>结社自由与集体谈判</w:t>
      </w:r>
    </w:p>
    <w:p>
      <w:pPr>
        <w:jc w:val="left"/>
      </w:pPr>
      <w:r>
        <w:rPr>
          <w:rFonts w:ascii="等线" w:hAnsi="等线"/>
          <w:b w:val="0"/>
          <w:sz w:val="21"/>
        </w:rPr>
        <w:t>社会-结社自由与集体谈判</w:t>
      </w:r>
    </w:p>
    <w:p>
      <w:pPr>
        <w:jc w:val="left"/>
      </w:pPr>
      <w:r>
        <w:rPr>
          <w:rFonts w:ascii="等线" w:hAnsi="等线"/>
          <w:b w:val="0"/>
          <w:sz w:val="21"/>
        </w:rPr>
        <w:t>1. 对结社自由与集体谈判的政策及管理方法</w:t>
      </w:r>
    </w:p>
    <w:p>
      <w:pPr>
        <w:ind w:left="480"/>
        <w:jc w:val="left"/>
      </w:pPr>
      <w:r>
        <w:rPr>
          <w:rFonts w:ascii="等线" w:hAnsi="等线"/>
          <w:b w:val="0"/>
          <w:sz w:val="21"/>
        </w:rPr>
        <w:t>◦ 我们尊重员工的结社自由和集体谈判权利，并将其视为基本人权。公司制定了明确的政策，确保员工能够自由组织和加入工会或其他员工代表组织，以维护自身权益。</w:t>
      </w:r>
    </w:p>
    <w:p>
      <w:pPr>
        <w:ind w:left="480"/>
        <w:jc w:val="left"/>
      </w:pPr>
      <w:r>
        <w:rPr>
          <w:rFonts w:ascii="等线" w:hAnsi="等线"/>
          <w:b w:val="0"/>
          <w:sz w:val="21"/>
        </w:rPr>
        <w:t>◦ 我们积极与员工代表进行沟通和协商，建立了有效的集体谈判机制。通过定期的会议和讨论，我们与员工代表共同商讨涉及员工权益的重要事项，如薪酬、福利、工作条件等。</w:t>
      </w:r>
    </w:p>
    <w:p>
      <w:pPr>
        <w:ind w:left="480"/>
        <w:jc w:val="left"/>
      </w:pPr>
      <w:r>
        <w:rPr>
          <w:rFonts w:ascii="等线" w:hAnsi="等线"/>
          <w:b w:val="0"/>
          <w:sz w:val="21"/>
        </w:rPr>
        <w:t>◦ 为了确保政策的有效实施，我们建立了相应的管理流程和监督机制。公司设立了专门的部门负责处理员工关系事务，并定期对政策的执行情况进行审查和评估。</w:t>
      </w:r>
    </w:p>
    <w:p>
      <w:pPr>
        <w:jc w:val="left"/>
      </w:pPr>
      <w:r>
        <w:rPr>
          <w:rFonts w:ascii="等线" w:hAnsi="等线"/>
          <w:b w:val="0"/>
          <w:sz w:val="21"/>
        </w:rPr>
        <w:t>2. 工作者行使结社自由或集体谈判的权利受到侵犯或处于重大风险的运营点和供应商，他们的类型及所在的国家或者地区</w:t>
      </w:r>
    </w:p>
    <w:p>
      <w:pPr>
        <w:ind w:left="480"/>
        <w:jc w:val="left"/>
      </w:pPr>
      <w:r>
        <w:rPr>
          <w:rFonts w:ascii="等线" w:hAnsi="等线"/>
          <w:b w:val="0"/>
          <w:sz w:val="21"/>
        </w:rPr>
        <w:t>◦ 在报告期内，我们没有发现工作者行使结社自由或集体谈判的权利受到侵犯的情况。我们通过定期的供应商评估和审核，确保供应商遵守相关法律法规和国际标准，尊重员工的结社自由和集体谈判权利。</w:t>
      </w:r>
    </w:p>
    <w:p>
      <w:pPr>
        <w:ind w:left="480"/>
        <w:jc w:val="left"/>
      </w:pPr>
      <w:r>
        <w:rPr>
          <w:rFonts w:ascii="等线" w:hAnsi="等线"/>
          <w:b w:val="0"/>
          <w:sz w:val="21"/>
        </w:rPr>
        <w:t>◦ 然而，我们意识到在某些国家或地区，结社自由和集体谈判权利可能受到限制或存在风险。为了应对这种情况，我们采取了以下措施：</w:t>
      </w:r>
    </w:p>
    <w:p>
      <w:pPr>
        <w:ind w:left="480"/>
        <w:jc w:val="left"/>
      </w:pPr>
      <w:r>
        <w:rPr>
          <w:rFonts w:ascii="等线" w:hAnsi="等线"/>
          <w:b w:val="0"/>
          <w:sz w:val="21"/>
        </w:rPr>
        <w:t>◦ 加强对供应商的尽职调查，了解其所在国家或地区的劳动法律法规和人权状况。</w:t>
      </w:r>
    </w:p>
    <w:p>
      <w:pPr>
        <w:ind w:left="480"/>
        <w:jc w:val="left"/>
      </w:pPr>
      <w:r>
        <w:rPr>
          <w:rFonts w:ascii="等线" w:hAnsi="等线"/>
          <w:b w:val="0"/>
          <w:sz w:val="21"/>
        </w:rPr>
        <w:t>◦ 与供应商签订合同，明确要求其遵守相关法律法规和国际标准，尊重员工的结社自由和集体谈判权利。</w:t>
      </w:r>
    </w:p>
    <w:p>
      <w:pPr>
        <w:ind w:left="480"/>
        <w:jc w:val="left"/>
      </w:pPr>
      <w:r>
        <w:rPr>
          <w:rFonts w:ascii="等线" w:hAnsi="等线"/>
          <w:b w:val="0"/>
          <w:sz w:val="21"/>
        </w:rPr>
        <w:t>◦ 提供培训和支持，帮助供应商提高对结社自由和集体谈判权利的认识和理解，促进其建立良好的劳动关系。</w:t>
      </w:r>
    </w:p>
    <w:p>
      <w:pPr>
        <w:jc w:val="left"/>
      </w:pPr>
      <w:r>
        <w:rPr>
          <w:rFonts w:ascii="等线" w:hAnsi="等线"/>
          <w:b w:val="0"/>
          <w:sz w:val="21"/>
        </w:rPr>
        <w:t>3. 在报告期内，组织为支持行使结社自由与集体谈判权利已经采取的措施与成效</w:t>
      </w:r>
    </w:p>
    <w:p>
      <w:pPr>
        <w:ind w:left="480"/>
        <w:jc w:val="left"/>
      </w:pPr>
      <w:r>
        <w:rPr>
          <w:rFonts w:ascii="等线" w:hAnsi="等线"/>
          <w:b w:val="0"/>
          <w:sz w:val="21"/>
        </w:rPr>
        <w:t>◦ 为了支持员工行使结社自由和集体谈判权利，我们采取了以下措施：</w:t>
      </w:r>
    </w:p>
    <w:p>
      <w:pPr>
        <w:ind w:left="480"/>
        <w:jc w:val="left"/>
      </w:pPr>
      <w:r>
        <w:rPr>
          <w:rFonts w:ascii="等线" w:hAnsi="等线"/>
          <w:b w:val="0"/>
          <w:sz w:val="21"/>
        </w:rPr>
        <w:t>◦ 提供培训和教育，帮助员工了解自己的权利和义务，提高其对结社自由和集体谈判的认识和理解。</w:t>
      </w:r>
    </w:p>
    <w:p>
      <w:pPr>
        <w:ind w:left="480"/>
        <w:jc w:val="left"/>
      </w:pPr>
      <w:r>
        <w:rPr>
          <w:rFonts w:ascii="等线" w:hAnsi="等线"/>
          <w:b w:val="0"/>
          <w:sz w:val="21"/>
        </w:rPr>
        <w:t>◦ 建立了员工意见反馈机制，鼓励员工提出意见和建议，参与公司的管理和决策。</w:t>
      </w:r>
    </w:p>
    <w:p>
      <w:pPr>
        <w:ind w:left="480"/>
        <w:jc w:val="left"/>
      </w:pPr>
      <w:r>
        <w:rPr>
          <w:rFonts w:ascii="等线" w:hAnsi="等线"/>
          <w:b w:val="0"/>
          <w:sz w:val="21"/>
        </w:rPr>
        <w:t>◦ 积极参与行业协会和社会组织的活动，推动结社自由和集体谈判权利的保护和发展。</w:t>
      </w:r>
    </w:p>
    <w:p>
      <w:pPr>
        <w:ind w:left="480"/>
        <w:jc w:val="left"/>
      </w:pPr>
      <w:r>
        <w:rPr>
          <w:rFonts w:ascii="等线" w:hAnsi="等线"/>
          <w:b w:val="0"/>
          <w:sz w:val="21"/>
        </w:rPr>
        <w:t>◦ 通过这些措施的实施，我们取得了以下成效：</w:t>
      </w:r>
    </w:p>
    <w:p>
      <w:pPr>
        <w:ind w:left="480"/>
        <w:jc w:val="left"/>
      </w:pPr>
      <w:r>
        <w:rPr>
          <w:rFonts w:ascii="等线" w:hAnsi="等线"/>
          <w:b w:val="0"/>
          <w:sz w:val="21"/>
        </w:rPr>
        <w:t>◦ 员工对结社自由和集体谈判权利的认识和理解得到了提高，增强了自我保护意识。</w:t>
      </w:r>
    </w:p>
    <w:p>
      <w:pPr>
        <w:ind w:left="480"/>
        <w:jc w:val="left"/>
      </w:pPr>
      <w:r>
        <w:rPr>
          <w:rFonts w:ascii="等线" w:hAnsi="等线"/>
          <w:b w:val="0"/>
          <w:sz w:val="21"/>
        </w:rPr>
        <w:t>◦ 员工参与公司管理和决策的积极性得到了提高，促进了公司的发展和进步。</w:t>
      </w:r>
    </w:p>
    <w:p>
      <w:pPr>
        <w:ind w:left="480"/>
        <w:jc w:val="left"/>
      </w:pPr>
      <w:r>
        <w:rPr>
          <w:rFonts w:ascii="等线" w:hAnsi="等线"/>
          <w:b w:val="0"/>
          <w:sz w:val="21"/>
        </w:rPr>
        <w:t>◦ 公司与员工之间的关系更加和谐稳定，提高了员工的满意度和忠诚度。</w:t>
      </w:r>
    </w:p>
    <w:p>
      <w:pPr>
        <w:jc w:val="left"/>
      </w:pPr>
      <w:r>
        <w:rPr>
          <w:rFonts w:ascii="等线" w:hAnsi="等线"/>
          <w:b w:val="0"/>
          <w:sz w:val="21"/>
        </w:rPr>
        <w:t>总之，我们将继续关注结社自由和集体谈判权利的保护和发展，不断完善我们的政策和管理方法，为员工提供更好的工作环境和发展机会。同时，我们也将积极履行社会责任，推动行业的可持续发展。</w:t>
      </w:r>
    </w:p>
    <w:p>
      <w:pPr>
        <w:pStyle w:val="Heading2"/>
      </w:pPr>
      <w:r>
        <w:rPr>
          <w:rFonts w:ascii="等线" w:hAnsi="等线" w:eastAsia="等线"/>
          <w:color w:val="000000"/>
          <w:sz w:val="32"/>
        </w:rPr>
        <w:t>童工</w:t>
      </w:r>
    </w:p>
    <w:p>
      <w:pPr>
        <w:jc w:val="left"/>
      </w:pPr>
      <w:r>
        <w:rPr>
          <w:rFonts w:ascii="等线" w:hAnsi="等线"/>
          <w:b w:val="0"/>
          <w:sz w:val="21"/>
        </w:rPr>
        <w:t>童工</w:t>
      </w:r>
    </w:p>
    <w:p>
      <w:pPr>
        <w:jc w:val="left"/>
      </w:pPr>
      <w:r>
        <w:rPr>
          <w:rFonts w:ascii="等线" w:hAnsi="等线"/>
          <w:b w:val="0"/>
          <w:sz w:val="21"/>
        </w:rPr>
        <w:t>一、对童工议题的管理政策与管理方法</w:t>
      </w:r>
    </w:p>
    <w:p>
      <w:pPr>
        <w:jc w:val="left"/>
      </w:pPr>
      <w:r>
        <w:rPr>
          <w:rFonts w:ascii="等线" w:hAnsi="等线"/>
          <w:b w:val="0"/>
          <w:sz w:val="21"/>
        </w:rPr>
        <w:t>1. 政策声明：我们公司坚决反对使用童工，并制定了严格的政策，确保在我们的运营和供应链中不雇用任何未满 16 周岁的儿童。</w:t>
      </w:r>
    </w:p>
    <w:p>
      <w:pPr>
        <w:jc w:val="left"/>
      </w:pPr>
      <w:r>
        <w:rPr>
          <w:rFonts w:ascii="等线" w:hAnsi="等线"/>
          <w:b w:val="0"/>
          <w:sz w:val="21"/>
        </w:rPr>
        <w:t>2. 管理体系：建立了完善的管理体系，包括招聘流程、员工培训和监督机制，以确保政策的有效执行。</w:t>
      </w:r>
    </w:p>
    <w:p>
      <w:pPr>
        <w:jc w:val="left"/>
      </w:pPr>
      <w:r>
        <w:rPr>
          <w:rFonts w:ascii="等线" w:hAnsi="等线"/>
          <w:b w:val="0"/>
          <w:sz w:val="21"/>
        </w:rPr>
        <w:t>3. 供应商管理：要求供应商签署承诺书，遵守我们的童工政策，并对其进行定期审核。</w:t>
      </w:r>
    </w:p>
    <w:p>
      <w:pPr>
        <w:jc w:val="left"/>
      </w:pPr>
      <w:r>
        <w:rPr>
          <w:rFonts w:ascii="等线" w:hAnsi="等线"/>
          <w:b w:val="0"/>
          <w:sz w:val="21"/>
        </w:rPr>
        <w:t>二、具有童工或未成年工从事危险工作重大风险的运营点和供应商，他们的类型及所在的国家或者地区</w:t>
      </w:r>
    </w:p>
    <w:p>
      <w:pPr>
        <w:jc w:val="left"/>
      </w:pPr>
      <w:r>
        <w:rPr>
          <w:rFonts w:ascii="等线" w:hAnsi="等线"/>
          <w:b w:val="0"/>
          <w:sz w:val="21"/>
        </w:rPr>
        <w:t>1. 运营点：在我们的生产工厂中，没有发现童工或未成年工从事危险工作的情况。</w:t>
      </w:r>
    </w:p>
    <w:p>
      <w:pPr>
        <w:jc w:val="left"/>
      </w:pPr>
      <w:r>
        <w:rPr>
          <w:rFonts w:ascii="等线" w:hAnsi="等线"/>
          <w:b w:val="0"/>
          <w:sz w:val="21"/>
        </w:rPr>
        <w:t>2. 供应商：经过对供应商的审核，我们发现有</w:t>
      </w:r>
      <w:r>
        <w:rPr>
          <w:rFonts w:ascii="等线" w:hAnsi="等线"/>
          <w:b w:val="0"/>
          <w:sz w:val="21"/>
          <w:highlight w:val="yellow"/>
        </w:rPr>
        <w:t>[X]</w:t>
      </w:r>
      <w:r>
        <w:rPr>
          <w:rFonts w:ascii="等线" w:hAnsi="等线"/>
          <w:b w:val="0"/>
          <w:sz w:val="21"/>
        </w:rPr>
        <w:t>家供应商存在童工或未成年工从事危险工作的风险。这些供应商主要分布在</w:t>
      </w:r>
      <w:r>
        <w:rPr>
          <w:rFonts w:ascii="等线" w:hAnsi="等线"/>
          <w:b w:val="0"/>
          <w:sz w:val="21"/>
          <w:highlight w:val="yellow"/>
        </w:rPr>
        <w:t>[国家或地区]</w:t>
      </w:r>
      <w:r>
        <w:rPr>
          <w:rFonts w:ascii="等线" w:hAnsi="等线"/>
          <w:b w:val="0"/>
          <w:sz w:val="21"/>
        </w:rPr>
        <w:t>，涉及的行业包括</w:t>
      </w:r>
      <w:r>
        <w:rPr>
          <w:rFonts w:ascii="等线" w:hAnsi="等线"/>
          <w:b w:val="0"/>
          <w:sz w:val="21"/>
          <w:highlight w:val="yellow"/>
        </w:rPr>
        <w:t>[行业类型]</w:t>
      </w:r>
      <w:r>
        <w:rPr>
          <w:rFonts w:ascii="等线" w:hAnsi="等线"/>
          <w:b w:val="0"/>
          <w:sz w:val="21"/>
        </w:rPr>
        <w:t>。</w:t>
      </w:r>
    </w:p>
    <w:p>
      <w:pPr>
        <w:jc w:val="left"/>
      </w:pPr>
      <w:r>
        <w:rPr>
          <w:rFonts w:ascii="等线" w:hAnsi="等线"/>
          <w:b w:val="0"/>
          <w:sz w:val="21"/>
        </w:rPr>
        <w:t>三、在报告期内，组织为促进有效废除童工已经采取的措施与成效</w:t>
      </w:r>
    </w:p>
    <w:p>
      <w:pPr>
        <w:jc w:val="left"/>
      </w:pPr>
      <w:r>
        <w:rPr>
          <w:rFonts w:ascii="等线" w:hAnsi="等线"/>
          <w:b w:val="0"/>
          <w:sz w:val="21"/>
        </w:rPr>
        <w:t>1. 培训与教育：为员工和供应商提供了关于童工问题的培训，提高了他们的意识和认识。</w:t>
      </w:r>
    </w:p>
    <w:p>
      <w:pPr>
        <w:jc w:val="left"/>
      </w:pPr>
      <w:r>
        <w:rPr>
          <w:rFonts w:ascii="等线" w:hAnsi="等线"/>
          <w:b w:val="0"/>
          <w:sz w:val="21"/>
        </w:rPr>
        <w:t>2. 监督与审核：加强了对运营点和供应商的监督和审核，确保他们遵守我们的政策。</w:t>
      </w:r>
    </w:p>
    <w:p>
      <w:pPr>
        <w:jc w:val="left"/>
      </w:pPr>
      <w:r>
        <w:rPr>
          <w:rFonts w:ascii="等线" w:hAnsi="等线"/>
          <w:b w:val="0"/>
          <w:sz w:val="21"/>
        </w:rPr>
        <w:t>3. 合作与倡议：积极参与国际组织和行业倡议，共同推动废除童工的工作。</w:t>
      </w:r>
    </w:p>
    <w:p>
      <w:pPr>
        <w:jc w:val="left"/>
      </w:pPr>
      <w:r>
        <w:rPr>
          <w:rFonts w:ascii="等线" w:hAnsi="等线"/>
          <w:b w:val="0"/>
          <w:sz w:val="21"/>
        </w:rPr>
        <w:t>通过以上措施的实施，我们取得了显著的成效。在报告期内，我们没有发现任何童工或未成年工从事危险工作的情况。同时，我们的供应商也在逐步改善他们的管理体系，以确保遵守我们的政策。</w:t>
      </w:r>
    </w:p>
    <w:p>
      <w:pPr>
        <w:jc w:val="left"/>
      </w:pPr>
      <w:r>
        <w:rPr>
          <w:rFonts w:ascii="等线" w:hAnsi="等线"/>
          <w:b w:val="0"/>
          <w:sz w:val="21"/>
        </w:rPr>
        <w:t>未来，我们将继续加强对童工问题的管理和监督，不断完善我们的政策和措施，为促进有效废除童工做出更大的贡献。</w:t>
      </w:r>
    </w:p>
    <w:p>
      <w:pPr>
        <w:pStyle w:val="Heading2"/>
      </w:pPr>
      <w:r>
        <w:rPr>
          <w:rFonts w:ascii="等线" w:hAnsi="等线" w:eastAsia="等线"/>
          <w:color w:val="000000"/>
          <w:sz w:val="32"/>
        </w:rPr>
        <w:t>强制劳动或强迫劳动</w:t>
      </w:r>
    </w:p>
    <w:p>
      <w:pPr>
        <w:jc w:val="left"/>
      </w:pPr>
      <w:r>
        <w:rPr>
          <w:rFonts w:ascii="等线" w:hAnsi="等线"/>
          <w:b w:val="0"/>
          <w:sz w:val="21"/>
        </w:rPr>
        <w:t>社会-强制劳动或强迫劳动</w:t>
      </w:r>
    </w:p>
    <w:p>
      <w:pPr>
        <w:jc w:val="left"/>
      </w:pPr>
      <w:r>
        <w:rPr>
          <w:rFonts w:ascii="等线" w:hAnsi="等线"/>
          <w:b w:val="0"/>
          <w:sz w:val="21"/>
        </w:rPr>
        <w:t>一、政策及管理方法</w:t>
      </w:r>
    </w:p>
    <w:p>
      <w:pPr>
        <w:jc w:val="left"/>
      </w:pPr>
      <w:r>
        <w:rPr>
          <w:rFonts w:ascii="等线" w:hAnsi="等线"/>
          <w:b w:val="0"/>
          <w:sz w:val="21"/>
        </w:rPr>
        <w:t>我们公司一直致力于维护员工的权益和尊严，坚决反对任何形式的强迫或强制劳动。我们制定并实施了一系列严格的政策和管理方法，以确保我们的运营和供应链中不存在强迫或强制劳动的情况。</w:t>
      </w:r>
    </w:p>
    <w:p>
      <w:pPr>
        <w:jc w:val="left"/>
      </w:pPr>
      <w:r>
        <w:rPr>
          <w:rFonts w:ascii="等线" w:hAnsi="等线"/>
          <w:b w:val="0"/>
          <w:sz w:val="21"/>
        </w:rPr>
        <w:t>我们的政策明确规定，公司及其供应商不得使用任何形式的强迫或强制劳动，包括但不限于奴役、人口贩卖、债务劳役、契约劳动等。我们要求所有员工和供应商都必须遵守这些政策，并对违反政策的行为采取零容忍的态度。</w:t>
      </w:r>
    </w:p>
    <w:p>
      <w:pPr>
        <w:jc w:val="left"/>
      </w:pPr>
      <w:r>
        <w:rPr>
          <w:rFonts w:ascii="等线" w:hAnsi="等线"/>
          <w:b w:val="0"/>
          <w:sz w:val="21"/>
        </w:rPr>
        <w:t>为了确保政策的有效实施，我们建立了完善的管理体系。我们定期对公司的运营和供应链进行审计和监督，以发现和解决可能存在的强迫或强制劳动问题。我们还建立了员工投诉机制，鼓励员工举报任何可能存在的强迫或强制劳动行为。我们对所有投诉都进行认真调查，并采取适当的措施加以解决。</w:t>
      </w:r>
    </w:p>
    <w:p>
      <w:pPr>
        <w:jc w:val="left"/>
      </w:pPr>
      <w:r>
        <w:rPr>
          <w:rFonts w:ascii="等线" w:hAnsi="等线"/>
          <w:b w:val="0"/>
          <w:sz w:val="21"/>
        </w:rPr>
        <w:t>二、具有强迫或强制劳动重大风险的运营点和供应商</w:t>
      </w:r>
    </w:p>
    <w:p>
      <w:pPr>
        <w:jc w:val="left"/>
      </w:pPr>
      <w:r>
        <w:rPr>
          <w:rFonts w:ascii="等线" w:hAnsi="等线"/>
          <w:b w:val="0"/>
          <w:sz w:val="21"/>
        </w:rPr>
        <w:t>我们对公司的运营和供应链进行了全面的风险评估，以确定可能存在强迫或强制劳动重大风险的运营点和供应商。经过评估，我们发现以下类型的运营点和供应商存在较高的风险：</w:t>
      </w:r>
    </w:p>
    <w:p>
      <w:pPr>
        <w:jc w:val="left"/>
      </w:pPr>
      <w:r>
        <w:rPr>
          <w:rFonts w:ascii="等线" w:hAnsi="等线"/>
          <w:b w:val="0"/>
          <w:sz w:val="21"/>
        </w:rPr>
        <w:t>1. 劳动密集型行业：如服装、鞋类、玩具等行业，由于劳动力成本较低，容易出现强迫或强制劳动的情况。</w:t>
      </w:r>
    </w:p>
    <w:p>
      <w:pPr>
        <w:jc w:val="left"/>
      </w:pPr>
      <w:r>
        <w:rPr>
          <w:rFonts w:ascii="等线" w:hAnsi="等线"/>
          <w:b w:val="0"/>
          <w:sz w:val="21"/>
        </w:rPr>
        <w:t>2. 发展中国家或地区：如东南亚、非洲等地区，由于经济发展水平较低，劳动法律法规不完善，容易出现强迫或强制劳动的情况。</w:t>
      </w:r>
    </w:p>
    <w:p>
      <w:pPr>
        <w:jc w:val="left"/>
      </w:pPr>
      <w:r>
        <w:rPr>
          <w:rFonts w:ascii="等线" w:hAnsi="等线"/>
          <w:b w:val="0"/>
          <w:sz w:val="21"/>
        </w:rPr>
        <w:t>3. 小型供应商：由于规模较小，管理水平较低，容易出现强迫或强制劳动的情况。</w:t>
      </w:r>
    </w:p>
    <w:p>
      <w:pPr>
        <w:jc w:val="left"/>
      </w:pPr>
      <w:r>
        <w:rPr>
          <w:rFonts w:ascii="等线" w:hAnsi="等线"/>
          <w:b w:val="0"/>
          <w:sz w:val="21"/>
        </w:rPr>
        <w:t>为了降低这些风险，我们采取了以下措施：</w:t>
      </w:r>
    </w:p>
    <w:p>
      <w:pPr>
        <w:jc w:val="left"/>
      </w:pPr>
      <w:r>
        <w:rPr>
          <w:rFonts w:ascii="等线" w:hAnsi="等线"/>
          <w:b w:val="0"/>
          <w:sz w:val="21"/>
        </w:rPr>
        <w:t>1. 加强对供应商的审核和管理：我们对所有供应商都进行严格的审核和评估，确保他们符合我们的社会责任标准。我们还与供应商签订了合同，明确规定了他们的社会责任义务，并对他们的履行情况进行监督和评估。</w:t>
      </w:r>
    </w:p>
    <w:p>
      <w:pPr>
        <w:jc w:val="left"/>
      </w:pPr>
      <w:r>
        <w:rPr>
          <w:rFonts w:ascii="等线" w:hAnsi="等线"/>
          <w:b w:val="0"/>
          <w:sz w:val="21"/>
        </w:rPr>
        <w:t>2. 提供培训和支持：我们为供应商提供培训和支持，帮助他们提高管理水平，遵守劳动法律法规，消除强迫或强制劳动的风险。</w:t>
      </w:r>
    </w:p>
    <w:p>
      <w:pPr>
        <w:jc w:val="left"/>
      </w:pPr>
      <w:r>
        <w:rPr>
          <w:rFonts w:ascii="等线" w:hAnsi="等线"/>
          <w:b w:val="0"/>
          <w:sz w:val="21"/>
        </w:rPr>
        <w:t>3. 建立合作关系：我们与一些国际组织和机构建立了合作关系，共同推动消除强迫或强制劳动的工作。</w:t>
      </w:r>
    </w:p>
    <w:p>
      <w:pPr>
        <w:jc w:val="left"/>
      </w:pPr>
      <w:r>
        <w:rPr>
          <w:rFonts w:ascii="等线" w:hAnsi="等线"/>
          <w:b w:val="0"/>
          <w:sz w:val="21"/>
        </w:rPr>
        <w:t>三、在报告期内，组织为促进有效消除强迫或强制劳动已经采取的措施与成效</w:t>
      </w:r>
    </w:p>
    <w:p>
      <w:pPr>
        <w:jc w:val="left"/>
      </w:pPr>
      <w:r>
        <w:rPr>
          <w:rFonts w:ascii="等线" w:hAnsi="等线"/>
          <w:b w:val="0"/>
          <w:sz w:val="21"/>
        </w:rPr>
        <w:t>在报告期内，我们采取了以下措施来促进有效消除强迫或强制劳动：</w:t>
      </w:r>
    </w:p>
    <w:p>
      <w:pPr>
        <w:jc w:val="left"/>
      </w:pPr>
      <w:r>
        <w:rPr>
          <w:rFonts w:ascii="等线" w:hAnsi="等线"/>
          <w:b w:val="0"/>
          <w:sz w:val="21"/>
        </w:rPr>
        <w:t>1. 加强内部培训和教育：我们为员工提供了关于强迫或强制劳动的培训和教育，提高了他们的意识和认识。我们还鼓励员工积极参与消除强迫或强制劳动的工作，共同维护公司的社会责任形象。</w:t>
      </w:r>
    </w:p>
    <w:p>
      <w:pPr>
        <w:jc w:val="left"/>
      </w:pPr>
      <w:r>
        <w:rPr>
          <w:rFonts w:ascii="等线" w:hAnsi="等线"/>
          <w:b w:val="0"/>
          <w:sz w:val="21"/>
        </w:rPr>
        <w:t>2. 开展供应商审核和评估：我们对所有供应商都进行了严格的审核和评估，确保他们符合我们的社会责任标准。我们还与供应商签订了合同，明确规定了他们的社会责任义务，并对他们的履行情况进行监督和评估。</w:t>
      </w:r>
    </w:p>
    <w:p>
      <w:pPr>
        <w:jc w:val="left"/>
      </w:pPr>
      <w:r>
        <w:rPr>
          <w:rFonts w:ascii="等线" w:hAnsi="等线"/>
          <w:b w:val="0"/>
          <w:sz w:val="21"/>
        </w:rPr>
        <w:t>3. 建立投诉机制：我们建立了员工投诉机制，鼓励员工举报任何可能存在的强迫或强制劳动行为。我们对所有投诉都进行认真调查，并采取适当的措施加以解决。</w:t>
      </w:r>
    </w:p>
    <w:p>
      <w:pPr>
        <w:jc w:val="left"/>
      </w:pPr>
      <w:r>
        <w:rPr>
          <w:rFonts w:ascii="等线" w:hAnsi="等线"/>
          <w:b w:val="0"/>
          <w:sz w:val="21"/>
        </w:rPr>
        <w:t>4. 参与国际合作：我们与一些国际组织和机构建立了合作关系，共同推动消除强迫或强制劳动的工作。我们还积极参与国际标准的制定和推广，为消除强迫或强制劳动做出了贡献。</w:t>
      </w:r>
    </w:p>
    <w:p>
      <w:pPr>
        <w:jc w:val="left"/>
      </w:pPr>
      <w:r>
        <w:rPr>
          <w:rFonts w:ascii="等线" w:hAnsi="等线"/>
          <w:b w:val="0"/>
          <w:sz w:val="21"/>
        </w:rPr>
        <w:t>通过以上措施的实施，我们取得了显著的成效。在报告期内，我们没有发现任何一起强迫或强制劳动的事件，公司的运营和供应链中不存在强迫或强制劳动的情况。我们的努力得到了社会各界的认可和好评，公司的社会责任形象得到了进一步提升。</w:t>
      </w:r>
    </w:p>
    <w:p>
      <w:pPr>
        <w:jc w:val="left"/>
      </w:pPr>
      <w:r>
        <w:rPr>
          <w:rFonts w:ascii="等线" w:hAnsi="等线"/>
          <w:b w:val="0"/>
          <w:sz w:val="21"/>
        </w:rPr>
        <w:t>未来，我们将继续加强对强迫或强制劳动的管理和监督，不断完善我们的政策和管理方法，确保公司的运营和供应链中不存在强迫或强制劳动的情况。我们还将积极参与国际合作，共同推动消除强迫或强制劳动的工作，为维护员工的权益和尊严，促进社会的和谐发展做出更大的贡献。</w:t>
      </w:r>
    </w:p>
    <w:p>
      <w:pPr>
        <w:pStyle w:val="Heading2"/>
      </w:pPr>
      <w:r>
        <w:rPr>
          <w:rFonts w:ascii="等线" w:hAnsi="等线" w:eastAsia="等线"/>
          <w:color w:val="000000"/>
          <w:sz w:val="32"/>
        </w:rPr>
        <w:t>平等对待中小企业</w:t>
      </w:r>
    </w:p>
    <w:p>
      <w:pPr>
        <w:jc w:val="left"/>
      </w:pPr>
      <w:r>
        <w:rPr>
          <w:rFonts w:ascii="等线" w:hAnsi="等线"/>
          <w:b w:val="0"/>
          <w:sz w:val="21"/>
        </w:rPr>
        <w:t>以下是一个面向国际市场的大型民营汽车零部件企业 ESG 报告中社会-平等对待中小企业的内容模板：</w:t>
      </w:r>
    </w:p>
    <w:p>
      <w:pPr>
        <w:jc w:val="left"/>
      </w:pPr>
      <w:r>
        <w:rPr>
          <w:rFonts w:ascii="等线" w:hAnsi="等线"/>
          <w:b w:val="0"/>
          <w:sz w:val="21"/>
        </w:rPr>
        <w:t>平等对待中小企业</w:t>
      </w:r>
    </w:p>
    <w:p>
      <w:pPr>
        <w:jc w:val="left"/>
      </w:pPr>
      <w:r>
        <w:rPr>
          <w:rFonts w:ascii="等线" w:hAnsi="等线"/>
          <w:b w:val="0"/>
          <w:sz w:val="21"/>
        </w:rPr>
        <w:t>在我们的业务运营中，平等对待中小企业是我们的核心价值观之一。我们致力于与中小企业建立长期稳定的合作关系，共同推动汽车零部件行业的发展。</w:t>
      </w:r>
    </w:p>
    <w:p>
      <w:pPr>
        <w:jc w:val="left"/>
      </w:pPr>
      <w:r>
        <w:rPr>
          <w:rFonts w:ascii="等线" w:hAnsi="等线"/>
          <w:b w:val="0"/>
          <w:sz w:val="21"/>
        </w:rPr>
        <w:t>1. 逾期未支付款项</w:t>
      </w:r>
    </w:p>
    <w:p>
      <w:pPr>
        <w:jc w:val="left"/>
      </w:pPr>
      <w:r>
        <w:rPr>
          <w:rFonts w:ascii="等线" w:hAnsi="等线"/>
          <w:b w:val="0"/>
          <w:sz w:val="21"/>
        </w:rPr>
        <w:t>截至报告期末，我们的应付账款（含应付票据）余额为</w:t>
      </w:r>
      <w:r>
        <w:rPr>
          <w:rFonts w:ascii="等线" w:hAnsi="等线"/>
          <w:b w:val="0"/>
          <w:sz w:val="21"/>
          <w:highlight w:val="yellow"/>
        </w:rPr>
        <w:t>[具体金额]</w:t>
      </w:r>
      <w:r>
        <w:rPr>
          <w:rFonts w:ascii="等线" w:hAnsi="等线"/>
          <w:b w:val="0"/>
          <w:sz w:val="21"/>
        </w:rPr>
        <w:t>亿元，占总资产的比重为</w:t>
      </w:r>
      <w:r>
        <w:rPr>
          <w:rFonts w:ascii="等线" w:hAnsi="等线"/>
          <w:b w:val="0"/>
          <w:sz w:val="21"/>
          <w:highlight w:val="yellow"/>
        </w:rPr>
        <w:t>[具体百分比]</w:t>
      </w:r>
      <w:r>
        <w:rPr>
          <w:rFonts w:ascii="等线" w:hAnsi="等线"/>
          <w:b w:val="0"/>
          <w:sz w:val="21"/>
        </w:rPr>
        <w:t>%。其中，逾期未支付款项的金额为</w:t>
      </w:r>
      <w:r>
        <w:rPr>
          <w:rFonts w:ascii="等线" w:hAnsi="等线"/>
          <w:b w:val="0"/>
          <w:sz w:val="21"/>
          <w:highlight w:val="yellow"/>
        </w:rPr>
        <w:t>[具体金额]</w:t>
      </w:r>
      <w:r>
        <w:rPr>
          <w:rFonts w:ascii="等线" w:hAnsi="等线"/>
          <w:b w:val="0"/>
          <w:sz w:val="21"/>
        </w:rPr>
        <w:t>亿元。我们高度重视逾期未支付款项的问题，并已采取以下解决方案：- 建立了专门的团队，负责与供应商沟通和协商，确保及时支付款项。- 优化了内部流程，提高了支付效率，减少了逾期支付的情况。- 与供应商建立了定期对账机制，及时发现和解决支付问题。</w:t>
      </w:r>
    </w:p>
    <w:p>
      <w:pPr>
        <w:jc w:val="left"/>
      </w:pPr>
      <w:r>
        <w:rPr>
          <w:rFonts w:ascii="等线" w:hAnsi="等线"/>
          <w:b w:val="0"/>
          <w:sz w:val="21"/>
        </w:rPr>
        <w:t>2. 对中小企业供应商的账期设置</w:t>
      </w:r>
    </w:p>
    <w:p>
      <w:pPr>
        <w:jc w:val="left"/>
      </w:pPr>
      <w:r>
        <w:rPr>
          <w:rFonts w:ascii="等线" w:hAnsi="等线"/>
          <w:b w:val="0"/>
          <w:sz w:val="21"/>
        </w:rPr>
        <w:t>我们对中小企业供应商的账期设置通常为</w:t>
      </w:r>
      <w:r>
        <w:rPr>
          <w:rFonts w:ascii="等线" w:hAnsi="等线"/>
          <w:b w:val="0"/>
          <w:sz w:val="21"/>
          <w:highlight w:val="yellow"/>
        </w:rPr>
        <w:t>[具体账期]</w:t>
      </w:r>
      <w:r>
        <w:rPr>
          <w:rFonts w:ascii="等线" w:hAnsi="等线"/>
          <w:b w:val="0"/>
          <w:sz w:val="21"/>
        </w:rPr>
        <w:t>天。我们会根据供应商的信用状况、合作历史和业务需求等因素，合理调整账期。同时，我们也会与供应商保持密切沟通，了解他们的资金需求，并提供必要的支持。</w:t>
      </w:r>
    </w:p>
    <w:p>
      <w:pPr>
        <w:jc w:val="left"/>
      </w:pPr>
      <w:r>
        <w:rPr>
          <w:rFonts w:ascii="等线" w:hAnsi="等线"/>
          <w:b w:val="0"/>
          <w:sz w:val="21"/>
        </w:rPr>
        <w:t>3. 逾期账款的形成原因</w:t>
      </w:r>
    </w:p>
    <w:p>
      <w:pPr>
        <w:jc w:val="left"/>
      </w:pPr>
      <w:r>
        <w:rPr>
          <w:rFonts w:ascii="等线" w:hAnsi="等线"/>
          <w:b w:val="0"/>
          <w:sz w:val="21"/>
        </w:rPr>
        <w:t>逾期账款的形成原因主要包括以下几个方面：- 客户付款延迟：由于客户的付款流程或资金问题，导致我们的收款延迟。- 供应链问题：如原材料供应短缺、生产延误等，影响了我们的交货和收款。- 内部流程问题：如发票处理不及时、审批流程繁琐等，导致支付延迟。</w:t>
      </w:r>
    </w:p>
    <w:p>
      <w:pPr>
        <w:jc w:val="left"/>
      </w:pPr>
      <w:r>
        <w:rPr>
          <w:rFonts w:ascii="等线" w:hAnsi="等线"/>
          <w:b w:val="0"/>
          <w:sz w:val="21"/>
        </w:rPr>
        <w:t>4. 是否涉及诉讼仲裁</w:t>
      </w:r>
    </w:p>
    <w:p>
      <w:pPr>
        <w:jc w:val="left"/>
      </w:pPr>
      <w:r>
        <w:rPr>
          <w:rFonts w:ascii="等线" w:hAnsi="等线"/>
          <w:b w:val="0"/>
          <w:sz w:val="21"/>
        </w:rPr>
        <w:t>截至报告期末，我们没有涉及与中小企业供应商的诉讼仲裁案件。我们一直致力于通过友好协商解决支付问题，维护良好的合作关系。</w:t>
      </w:r>
    </w:p>
    <w:p>
      <w:pPr>
        <w:jc w:val="left"/>
      </w:pPr>
      <w:r>
        <w:rPr>
          <w:rFonts w:ascii="等线" w:hAnsi="等线"/>
          <w:b w:val="0"/>
          <w:sz w:val="21"/>
        </w:rPr>
        <w:t>5. 解决方案</w:t>
      </w:r>
    </w:p>
    <w:p>
      <w:pPr>
        <w:jc w:val="left"/>
      </w:pPr>
      <w:r>
        <w:rPr>
          <w:rFonts w:ascii="等线" w:hAnsi="等线"/>
          <w:b w:val="0"/>
          <w:sz w:val="21"/>
        </w:rPr>
        <w:t>为了解决逾期未支付款项的问题，我们采取了以下措施：- 加强与客户的沟通，催促他们及时付款。- 优化供应链管理，提高生产效率，减少供应问题对收款的影响。- 简化内部流程，加快发票处理和审批速度，确保及时支付。- 建立了应急资金池，以应对突发情况导致的支付困难。</w:t>
      </w:r>
    </w:p>
    <w:p>
      <w:pPr>
        <w:jc w:val="left"/>
      </w:pPr>
      <w:r>
        <w:rPr>
          <w:rFonts w:ascii="等线" w:hAnsi="等线"/>
          <w:b w:val="0"/>
          <w:sz w:val="21"/>
        </w:rPr>
        <w:t>此外，我们还将继续加强与中小企业供应商的合作，提供更多的支持和帮助，共同应对市场挑战。我们相信，通过平等对待中小企业，我们可以实现互利共赢，共同推动行业的可持续发展。</w:t>
      </w:r>
    </w:p>
    <w:p>
      <w:pPr>
        <w:jc w:val="left"/>
      </w:pPr>
      <w:r>
        <w:rPr>
          <w:rFonts w:ascii="等线" w:hAnsi="等线"/>
          <w:b w:val="0"/>
          <w:sz w:val="21"/>
        </w:rPr>
        <w:t>以上内容仅供参考，你可以根据实际情况进行调整和补充。如果你需要更详细准确的信息，建议咨询专业的 ESG 报告撰写机构或专家。</w:t>
      </w:r>
    </w:p>
    <w:p>
      <w:r>
        <w:br w:type="page"/>
      </w:r>
    </w:p>
    <w:p>
      <w:pPr>
        <w:pStyle w:val="Heading1"/>
      </w:pPr>
      <w:r>
        <w:rPr>
          <w:rFonts w:ascii="等线" w:hAnsi="等线" w:eastAsia="等线"/>
          <w:color w:val="000000"/>
          <w:sz w:val="44"/>
        </w:rPr>
        <w:t>公司治理</w:t>
      </w:r>
    </w:p>
    <w:p>
      <w:pPr>
        <w:pStyle w:val="Heading2"/>
      </w:pPr>
      <w:r>
        <w:rPr>
          <w:rFonts w:ascii="等线" w:hAnsi="等线" w:eastAsia="等线"/>
          <w:color w:val="000000"/>
          <w:sz w:val="32"/>
        </w:rPr>
        <w:t>尽职调查</w:t>
      </w:r>
    </w:p>
    <w:p>
      <w:pPr>
        <w:jc w:val="left"/>
      </w:pPr>
      <w:r>
        <w:rPr>
          <w:rFonts w:ascii="等线" w:hAnsi="等线"/>
          <w:b w:val="0"/>
          <w:sz w:val="21"/>
        </w:rPr>
        <w:t>公司治理-尽职调查</w:t>
      </w:r>
    </w:p>
    <w:p>
      <w:pPr>
        <w:jc w:val="left"/>
      </w:pPr>
      <w:r>
        <w:rPr>
          <w:rFonts w:ascii="等线" w:hAnsi="等线"/>
          <w:b w:val="0"/>
          <w:sz w:val="21"/>
        </w:rPr>
        <w:t>在报告期内，我们致力于识别和应对可持续发展相关的负面影响或风险。以下是我们在尽职调查方面的具体情况：</w:t>
      </w:r>
    </w:p>
    <w:p>
      <w:pPr>
        <w:jc w:val="left"/>
      </w:pPr>
      <w:r>
        <w:rPr>
          <w:rFonts w:ascii="等线" w:hAnsi="等线"/>
          <w:b w:val="0"/>
          <w:sz w:val="21"/>
        </w:rPr>
        <w:t>一、负责尽职调查的机构或人员</w:t>
      </w:r>
    </w:p>
    <w:p>
      <w:pPr>
        <w:jc w:val="left"/>
      </w:pPr>
      <w:r>
        <w:rPr>
          <w:rFonts w:ascii="等线" w:hAnsi="等线"/>
          <w:b w:val="0"/>
          <w:sz w:val="21"/>
        </w:rPr>
        <w:t>我们成立了专门的 ESG 工作小组，负责协调和执行尽职调查工作。该小组由公司内部的多个部门组成，包括风险管理、合规、环境健康与安全等。此外，我们还聘请了外部专业机构提供相关的咨询和支持。</w:t>
      </w:r>
    </w:p>
    <w:p>
      <w:pPr>
        <w:jc w:val="left"/>
      </w:pPr>
      <w:r>
        <w:rPr>
          <w:rFonts w:ascii="等线" w:hAnsi="等线"/>
          <w:b w:val="0"/>
          <w:sz w:val="21"/>
        </w:rPr>
        <w:t>二、尽职调查的范围</w:t>
      </w:r>
    </w:p>
    <w:p>
      <w:pPr>
        <w:jc w:val="left"/>
      </w:pPr>
      <w:r>
        <w:rPr>
          <w:rFonts w:ascii="等线" w:hAnsi="等线"/>
          <w:b w:val="0"/>
          <w:sz w:val="21"/>
        </w:rPr>
        <w:t>我们的尽职调查范围涵盖了公司的各个方面，包括但不限于：</w:t>
      </w:r>
    </w:p>
    <w:p>
      <w:pPr>
        <w:jc w:val="left"/>
      </w:pPr>
      <w:r>
        <w:rPr>
          <w:rFonts w:ascii="等线" w:hAnsi="等线"/>
          <w:b w:val="0"/>
          <w:sz w:val="21"/>
        </w:rPr>
        <w:t>1. 公司治理结构：评估公司的董事会结构、管理层职责和内部控制体系。</w:t>
      </w:r>
    </w:p>
    <w:p>
      <w:pPr>
        <w:jc w:val="left"/>
      </w:pPr>
      <w:r>
        <w:rPr>
          <w:rFonts w:ascii="等线" w:hAnsi="等线"/>
          <w:b w:val="0"/>
          <w:sz w:val="21"/>
        </w:rPr>
        <w:t>2. 环境管理：审查公司的环境政策、能源消耗、温室气体排放、废物管理等。</w:t>
      </w:r>
    </w:p>
    <w:p>
      <w:pPr>
        <w:jc w:val="left"/>
      </w:pPr>
      <w:r>
        <w:rPr>
          <w:rFonts w:ascii="等线" w:hAnsi="等线"/>
          <w:b w:val="0"/>
          <w:sz w:val="21"/>
        </w:rPr>
        <w:t>3. 社会责任：了解公司在员工权益、劳动条件、供应链管理、社区参与等方面的表现。</w:t>
      </w:r>
    </w:p>
    <w:p>
      <w:pPr>
        <w:jc w:val="left"/>
      </w:pPr>
      <w:r>
        <w:rPr>
          <w:rFonts w:ascii="等线" w:hAnsi="等线"/>
          <w:b w:val="0"/>
          <w:sz w:val="21"/>
        </w:rPr>
        <w:t>4. 公司战略：分析公司的长期发展战略，以确保其与可持续发展目标相一致。</w:t>
      </w:r>
    </w:p>
    <w:p>
      <w:pPr>
        <w:jc w:val="left"/>
      </w:pPr>
      <w:r>
        <w:rPr>
          <w:rFonts w:ascii="等线" w:hAnsi="等线"/>
          <w:b w:val="0"/>
          <w:sz w:val="21"/>
        </w:rPr>
        <w:t>三、识别可持续发展相关负面影响或风险的程序</w:t>
      </w:r>
    </w:p>
    <w:p>
      <w:pPr>
        <w:jc w:val="left"/>
      </w:pPr>
      <w:r>
        <w:rPr>
          <w:rFonts w:ascii="等线" w:hAnsi="等线"/>
          <w:b w:val="0"/>
          <w:sz w:val="21"/>
        </w:rPr>
        <w:t>我们采用了以下程序来识别可持续发展相关的负面影响或风险：</w:t>
      </w:r>
    </w:p>
    <w:p>
      <w:pPr>
        <w:jc w:val="left"/>
      </w:pPr>
      <w:r>
        <w:rPr>
          <w:rFonts w:ascii="等线" w:hAnsi="等线"/>
          <w:b w:val="0"/>
          <w:sz w:val="21"/>
        </w:rPr>
        <w:t>1. 风险评估：通过对公司业务和运营的全面分析，识别潜在的环境、社会和治理风险。</w:t>
      </w:r>
    </w:p>
    <w:p>
      <w:pPr>
        <w:jc w:val="left"/>
      </w:pPr>
      <w:r>
        <w:rPr>
          <w:rFonts w:ascii="等线" w:hAnsi="等线"/>
          <w:b w:val="0"/>
          <w:sz w:val="21"/>
        </w:rPr>
        <w:t>2. 利益相关者参与：与员工、供应商、客户、社区等利益相关者进行沟通和交流，了解他们对公司可持续发展的关注和期望。</w:t>
      </w:r>
    </w:p>
    <w:p>
      <w:pPr>
        <w:jc w:val="left"/>
      </w:pPr>
      <w:r>
        <w:rPr>
          <w:rFonts w:ascii="等线" w:hAnsi="等线"/>
          <w:b w:val="0"/>
          <w:sz w:val="21"/>
        </w:rPr>
        <w:t>3. 行业研究：跟踪行业动态和趋势，了解相关的法规和标准，以及同行业企业的最佳实践。</w:t>
      </w:r>
    </w:p>
    <w:p>
      <w:pPr>
        <w:jc w:val="left"/>
      </w:pPr>
      <w:r>
        <w:rPr>
          <w:rFonts w:ascii="等线" w:hAnsi="等线"/>
          <w:b w:val="0"/>
          <w:sz w:val="21"/>
        </w:rPr>
        <w:t>4. 数据分析：收集和分析公司内部和外部的数据，以评估公司在可持续发展方面的表现。</w:t>
      </w:r>
    </w:p>
    <w:p>
      <w:pPr>
        <w:jc w:val="left"/>
      </w:pPr>
      <w:r>
        <w:rPr>
          <w:rFonts w:ascii="等线" w:hAnsi="等线"/>
          <w:b w:val="0"/>
          <w:sz w:val="21"/>
        </w:rPr>
        <w:t>四、应对相关负面影响和风险的具体情况</w:t>
      </w:r>
    </w:p>
    <w:p>
      <w:pPr>
        <w:jc w:val="left"/>
      </w:pPr>
      <w:r>
        <w:rPr>
          <w:rFonts w:ascii="等线" w:hAnsi="等线"/>
          <w:b w:val="0"/>
          <w:sz w:val="21"/>
        </w:rPr>
        <w:t>针对识别出的可持续发展相关负面影响或风险，我们采取了以下应对措施：</w:t>
      </w:r>
    </w:p>
    <w:p>
      <w:pPr>
        <w:jc w:val="left"/>
      </w:pPr>
      <w:r>
        <w:rPr>
          <w:rFonts w:ascii="等线" w:hAnsi="等线"/>
          <w:b w:val="0"/>
          <w:sz w:val="21"/>
        </w:rPr>
        <w:t>1. 制定风险管理策略：根据风险评估的结果，制定相应的风险管理策略，包括风险规避、风险降低、风险转移和风险接受等。</w:t>
      </w:r>
    </w:p>
    <w:p>
      <w:pPr>
        <w:jc w:val="left"/>
      </w:pPr>
      <w:r>
        <w:rPr>
          <w:rFonts w:ascii="等线" w:hAnsi="等线"/>
          <w:b w:val="0"/>
          <w:sz w:val="21"/>
        </w:rPr>
        <w:t>2. 建立内部控制体系：加强公司的内部控制体系，确保各项业务活动符合法规和道德标准。</w:t>
      </w:r>
    </w:p>
    <w:p>
      <w:pPr>
        <w:jc w:val="left"/>
      </w:pPr>
      <w:r>
        <w:rPr>
          <w:rFonts w:ascii="等线" w:hAnsi="等线"/>
          <w:b w:val="0"/>
          <w:sz w:val="21"/>
        </w:rPr>
        <w:t>3. 加强环境管理：实施节能减排措施，提高资源利用效率，减少废物排放，加强对环境风险的监测和管理。</w:t>
      </w:r>
    </w:p>
    <w:p>
      <w:pPr>
        <w:jc w:val="left"/>
      </w:pPr>
      <w:r>
        <w:rPr>
          <w:rFonts w:ascii="等线" w:hAnsi="等线"/>
          <w:b w:val="0"/>
          <w:sz w:val="21"/>
        </w:rPr>
        <w:t>4. 推动社会责任实践：关注员工权益，提供良好的工作环境和发展机会，加强供应链管理，积极参与社区公益活动。</w:t>
      </w:r>
    </w:p>
    <w:p>
      <w:pPr>
        <w:jc w:val="left"/>
      </w:pPr>
      <w:r>
        <w:rPr>
          <w:rFonts w:ascii="等线" w:hAnsi="等线"/>
          <w:b w:val="0"/>
          <w:sz w:val="21"/>
        </w:rPr>
        <w:t>5. 持续改进：定期对公司的可持续发展表现进行评估和审查，及时发现问题并采取改进措施。</w:t>
      </w:r>
    </w:p>
    <w:p>
      <w:pPr>
        <w:jc w:val="left"/>
      </w:pPr>
      <w:r>
        <w:rPr>
          <w:rFonts w:ascii="等线" w:hAnsi="等线"/>
          <w:b w:val="0"/>
          <w:sz w:val="21"/>
        </w:rPr>
        <w:t>通过以上尽职调查工作，我们能够更好地识别和应对可持续发展相关的负面影响或风险，为公司的可持续发展提供有力支持。未来，我们将继续加强尽职调查工作，不断完善公司的治理结构和管理体系，推动公司在可持续发展方面取得更好的成绩。</w:t>
      </w:r>
    </w:p>
    <w:p>
      <w:pPr>
        <w:pStyle w:val="Heading2"/>
      </w:pPr>
      <w:r>
        <w:rPr>
          <w:rFonts w:ascii="等线" w:hAnsi="等线" w:eastAsia="等线"/>
          <w:color w:val="000000"/>
          <w:sz w:val="32"/>
        </w:rPr>
        <w:t>利益相关方沟通</w:t>
      </w:r>
    </w:p>
    <w:p>
      <w:pPr>
        <w:jc w:val="left"/>
      </w:pPr>
      <w:r>
        <w:rPr>
          <w:rFonts w:ascii="等线" w:hAnsi="等线"/>
          <w:b w:val="0"/>
          <w:sz w:val="21"/>
        </w:rPr>
        <w:t>公司治理-利益相关方沟通</w:t>
      </w:r>
    </w:p>
    <w:p>
      <w:pPr>
        <w:jc w:val="left"/>
      </w:pPr>
      <w:r>
        <w:rPr>
          <w:rFonts w:ascii="等线" w:hAnsi="等线"/>
          <w:b w:val="0"/>
          <w:sz w:val="21"/>
        </w:rPr>
        <w:t>一、利益相关方沟通制度的建设、执行情况</w:t>
      </w:r>
    </w:p>
    <w:p>
      <w:pPr>
        <w:jc w:val="left"/>
      </w:pPr>
      <w:r>
        <w:rPr>
          <w:rFonts w:ascii="等线" w:hAnsi="等线"/>
          <w:b w:val="0"/>
          <w:sz w:val="21"/>
        </w:rPr>
        <w:t>我们深知，与利益相关方保持良好的沟通是企业可持续发展的关键。因此，我们建立了完善的利益相关方沟通制度，以确保各方的意见和建议能够得到充分听取和反馈。</w:t>
      </w:r>
    </w:p>
    <w:p>
      <w:pPr>
        <w:jc w:val="left"/>
      </w:pPr>
      <w:r>
        <w:rPr>
          <w:rFonts w:ascii="等线" w:hAnsi="等线"/>
          <w:b w:val="0"/>
          <w:sz w:val="21"/>
        </w:rPr>
        <w:t>1. 制度建设：我们制定了《利益相关方沟通管理办法》，明确了与利益相关方沟通的原则、方式、频率和内容等。同时，我们还建立了利益相关方数据库，定期更新和维护相关信息，以便更好地了解各方的需求和期望。</w:t>
      </w:r>
    </w:p>
    <w:p>
      <w:pPr>
        <w:jc w:val="left"/>
      </w:pPr>
      <w:r>
        <w:rPr>
          <w:rFonts w:ascii="等线" w:hAnsi="等线"/>
          <w:b w:val="0"/>
          <w:sz w:val="21"/>
        </w:rPr>
        <w:t>2. 执行情况：在报告期内，我们严格按照制度要求，与利益相关方进行了广泛而深入的沟通。我们通过多种渠道，如定期报告、投资者会议、业绩说明会、电话会议、电子邮件等，与投资者保持密切联系，及时向他们传递公司的经营情况和发展战略。同时，我们还积极参与行业协会和社会组织的活动，与供应商、客户、员工、社区等利益相关方进行面对面的交流，听取他们的意见和建议，并及时做出回应。</w:t>
      </w:r>
    </w:p>
    <w:p>
      <w:pPr>
        <w:jc w:val="left"/>
      </w:pPr>
      <w:r>
        <w:rPr>
          <w:rFonts w:ascii="等线" w:hAnsi="等线"/>
          <w:b w:val="0"/>
          <w:sz w:val="21"/>
        </w:rPr>
        <w:t>二、听取、反馈利益相关方意见建议的渠道及执行情况</w:t>
      </w:r>
    </w:p>
    <w:p>
      <w:pPr>
        <w:jc w:val="left"/>
      </w:pPr>
      <w:r>
        <w:rPr>
          <w:rFonts w:ascii="等线" w:hAnsi="等线"/>
          <w:b w:val="0"/>
          <w:sz w:val="21"/>
        </w:rPr>
        <w:t>1. 投资者：我们通过定期报告、投资者会议、业绩说明会等方式，向投资者通报公司的财务状况、经营成果和发展战略。同时，我们还设立了投资者热线和电子邮箱，及时解答投资者的疑问和关切。在报告期内，我们共召开了</w:t>
      </w:r>
      <w:r>
        <w:rPr>
          <w:rFonts w:ascii="等线" w:hAnsi="等线"/>
          <w:b w:val="0"/>
          <w:sz w:val="21"/>
          <w:highlight w:val="yellow"/>
        </w:rPr>
        <w:t>[X]</w:t>
      </w:r>
      <w:r>
        <w:rPr>
          <w:rFonts w:ascii="等线" w:hAnsi="等线"/>
          <w:b w:val="0"/>
          <w:sz w:val="21"/>
        </w:rPr>
        <w:t>次投资者会议，接待了</w:t>
      </w:r>
      <w:r>
        <w:rPr>
          <w:rFonts w:ascii="等线" w:hAnsi="等线"/>
          <w:b w:val="0"/>
          <w:sz w:val="21"/>
          <w:highlight w:val="yellow"/>
        </w:rPr>
        <w:t>[X]</w:t>
      </w:r>
      <w:r>
        <w:rPr>
          <w:rFonts w:ascii="等线" w:hAnsi="等线"/>
          <w:b w:val="0"/>
          <w:sz w:val="21"/>
        </w:rPr>
        <w:t>人次的投资者调研，回复了投资者的邮件和电话咨询</w:t>
      </w:r>
      <w:r>
        <w:rPr>
          <w:rFonts w:ascii="等线" w:hAnsi="等线"/>
          <w:b w:val="0"/>
          <w:sz w:val="21"/>
          <w:highlight w:val="yellow"/>
        </w:rPr>
        <w:t>[X]</w:t>
      </w:r>
      <w:r>
        <w:rPr>
          <w:rFonts w:ascii="等线" w:hAnsi="等线"/>
          <w:b w:val="0"/>
          <w:sz w:val="21"/>
        </w:rPr>
        <w:t>次。</w:t>
      </w:r>
    </w:p>
    <w:p>
      <w:pPr>
        <w:jc w:val="left"/>
      </w:pPr>
      <w:r>
        <w:rPr>
          <w:rFonts w:ascii="等线" w:hAnsi="等线"/>
          <w:b w:val="0"/>
          <w:sz w:val="21"/>
        </w:rPr>
        <w:t>2. 供应商：我们与供应商建立了长期稳定的合作关系，通过定期的供应商评估和沟通，了解他们的需求和意见。同时，我们还积极推动供应商的可持续发展，鼓励他们采用环保、节能的生产方式，提高产品质量和服务水平。在报告期内，我们与</w:t>
      </w:r>
      <w:r>
        <w:rPr>
          <w:rFonts w:ascii="等线" w:hAnsi="等线"/>
          <w:b w:val="0"/>
          <w:sz w:val="21"/>
          <w:highlight w:val="yellow"/>
        </w:rPr>
        <w:t>[X]</w:t>
      </w:r>
      <w:r>
        <w:rPr>
          <w:rFonts w:ascii="等线" w:hAnsi="等线"/>
          <w:b w:val="0"/>
          <w:sz w:val="21"/>
        </w:rPr>
        <w:t>家供应商签订了长期合作协议，采购金额达到了</w:t>
      </w:r>
      <w:r>
        <w:rPr>
          <w:rFonts w:ascii="等线" w:hAnsi="等线"/>
          <w:b w:val="0"/>
          <w:sz w:val="21"/>
          <w:highlight w:val="yellow"/>
        </w:rPr>
        <w:t>[X]</w:t>
      </w:r>
      <w:r>
        <w:rPr>
          <w:rFonts w:ascii="等线" w:hAnsi="等线"/>
          <w:b w:val="0"/>
          <w:sz w:val="21"/>
        </w:rPr>
        <w:t>万元。</w:t>
      </w:r>
    </w:p>
    <w:p>
      <w:pPr>
        <w:jc w:val="left"/>
      </w:pPr>
      <w:r>
        <w:rPr>
          <w:rFonts w:ascii="等线" w:hAnsi="等线"/>
          <w:b w:val="0"/>
          <w:sz w:val="21"/>
        </w:rPr>
        <w:t>3. 客户：我们以客户为中心，通过市场调研、客户满意度调查等方式，了解客户的需求和期望。同时，我们还建立了客户投诉处理机制，及时解决客户的问题和纠纷。在报告期内，我们共收到客户投诉</w:t>
      </w:r>
      <w:r>
        <w:rPr>
          <w:rFonts w:ascii="等线" w:hAnsi="等线"/>
          <w:b w:val="0"/>
          <w:sz w:val="21"/>
          <w:highlight w:val="yellow"/>
        </w:rPr>
        <w:t>[X]</w:t>
      </w:r>
      <w:r>
        <w:rPr>
          <w:rFonts w:ascii="等线" w:hAnsi="等线"/>
          <w:b w:val="0"/>
          <w:sz w:val="21"/>
        </w:rPr>
        <w:t>件，处理率达到了</w:t>
      </w:r>
      <w:r>
        <w:rPr>
          <w:rFonts w:ascii="等线" w:hAnsi="等线"/>
          <w:b w:val="0"/>
          <w:sz w:val="21"/>
          <w:highlight w:val="yellow"/>
        </w:rPr>
        <w:t>[X]</w:t>
      </w:r>
      <w:r>
        <w:rPr>
          <w:rFonts w:ascii="等线" w:hAnsi="等线"/>
          <w:b w:val="0"/>
          <w:sz w:val="21"/>
        </w:rPr>
        <w:t>%，客户满意度达到了</w:t>
      </w:r>
      <w:r>
        <w:rPr>
          <w:rFonts w:ascii="等线" w:hAnsi="等线"/>
          <w:b w:val="0"/>
          <w:sz w:val="21"/>
          <w:highlight w:val="yellow"/>
        </w:rPr>
        <w:t>[X]</w:t>
      </w:r>
      <w:r>
        <w:rPr>
          <w:rFonts w:ascii="等线" w:hAnsi="等线"/>
          <w:b w:val="0"/>
          <w:sz w:val="21"/>
        </w:rPr>
        <w:t>%。</w:t>
      </w:r>
    </w:p>
    <w:p>
      <w:pPr>
        <w:jc w:val="left"/>
      </w:pPr>
      <w:r>
        <w:rPr>
          <w:rFonts w:ascii="等线" w:hAnsi="等线"/>
          <w:b w:val="0"/>
          <w:sz w:val="21"/>
        </w:rPr>
        <w:t>4. 员工：我们尊重员工的权益和利益，通过员工代表大会、工会组织、内部培训等方式，与员工进行沟通和交流。同时，我们还建立了员工意见箱和合理化建议制度，鼓励员工积极参与公司的管理和发展。在报告期内，我们共收到员工意见和建议</w:t>
      </w:r>
      <w:r>
        <w:rPr>
          <w:rFonts w:ascii="等线" w:hAnsi="等线"/>
          <w:b w:val="0"/>
          <w:sz w:val="21"/>
          <w:highlight w:val="yellow"/>
        </w:rPr>
        <w:t>[X]</w:t>
      </w:r>
      <w:r>
        <w:rPr>
          <w:rFonts w:ascii="等线" w:hAnsi="等线"/>
          <w:b w:val="0"/>
          <w:sz w:val="21"/>
        </w:rPr>
        <w:t>条，采纳率达到了</w:t>
      </w:r>
      <w:r>
        <w:rPr>
          <w:rFonts w:ascii="等线" w:hAnsi="等线"/>
          <w:b w:val="0"/>
          <w:sz w:val="21"/>
          <w:highlight w:val="yellow"/>
        </w:rPr>
        <w:t>[X]</w:t>
      </w:r>
      <w:r>
        <w:rPr>
          <w:rFonts w:ascii="等线" w:hAnsi="等线"/>
          <w:b w:val="0"/>
          <w:sz w:val="21"/>
        </w:rPr>
        <w:t>%。</w:t>
      </w:r>
    </w:p>
    <w:p>
      <w:pPr>
        <w:jc w:val="left"/>
      </w:pPr>
      <w:r>
        <w:rPr>
          <w:rFonts w:ascii="等线" w:hAnsi="等线"/>
          <w:b w:val="0"/>
          <w:sz w:val="21"/>
        </w:rPr>
        <w:t>5. 社区：我们积极履行社会责任，通过公益活动、志愿者服务等方式，回馈社会。同时，我们还与社区建立了良好的合作关系，听取他们的意见和建议，共同推动社区的发展。在报告期内，我们共开展了</w:t>
      </w:r>
      <w:r>
        <w:rPr>
          <w:rFonts w:ascii="等线" w:hAnsi="等线"/>
          <w:b w:val="0"/>
          <w:sz w:val="21"/>
          <w:highlight w:val="yellow"/>
        </w:rPr>
        <w:t>[X]</w:t>
      </w:r>
      <w:r>
        <w:rPr>
          <w:rFonts w:ascii="等线" w:hAnsi="等线"/>
          <w:b w:val="0"/>
          <w:sz w:val="21"/>
        </w:rPr>
        <w:t>次公益活动，捐赠金额达到了</w:t>
      </w:r>
      <w:r>
        <w:rPr>
          <w:rFonts w:ascii="等线" w:hAnsi="等线"/>
          <w:b w:val="0"/>
          <w:sz w:val="21"/>
          <w:highlight w:val="yellow"/>
        </w:rPr>
        <w:t>[X]</w:t>
      </w:r>
      <w:r>
        <w:rPr>
          <w:rFonts w:ascii="等线" w:hAnsi="等线"/>
          <w:b w:val="0"/>
          <w:sz w:val="21"/>
        </w:rPr>
        <w:t>万元。</w:t>
      </w:r>
    </w:p>
    <w:p>
      <w:pPr>
        <w:jc w:val="left"/>
      </w:pPr>
      <w:r>
        <w:rPr>
          <w:rFonts w:ascii="等线" w:hAnsi="等线"/>
          <w:b w:val="0"/>
          <w:sz w:val="21"/>
        </w:rPr>
        <w:t>三、总结</w:t>
      </w:r>
    </w:p>
    <w:p>
      <w:pPr>
        <w:jc w:val="left"/>
      </w:pPr>
      <w:r>
        <w:rPr>
          <w:rFonts w:ascii="等线" w:hAnsi="等线"/>
          <w:b w:val="0"/>
          <w:sz w:val="21"/>
        </w:rPr>
        <w:t>通过与利益相关方的沟通和交流，我们不仅了解了各方的需求和期望，也为公司的发展提供了有益的参考和建议。在未来的发展中，我们将继续加强与利益相关方的沟通和合作，共同推动公司的可持续发展。</w:t>
      </w:r>
    </w:p>
    <w:p>
      <w:pPr>
        <w:pStyle w:val="Heading2"/>
      </w:pPr>
      <w:r>
        <w:rPr>
          <w:rFonts w:ascii="等线" w:hAnsi="等线" w:eastAsia="等线"/>
          <w:color w:val="000000"/>
          <w:sz w:val="32"/>
        </w:rPr>
        <w:t>反商业贿赂及反贪污</w:t>
      </w:r>
    </w:p>
    <w:p>
      <w:pPr>
        <w:jc w:val="left"/>
      </w:pPr>
      <w:r>
        <w:rPr>
          <w:rFonts w:ascii="等线" w:hAnsi="等线"/>
          <w:b w:val="0"/>
          <w:sz w:val="21"/>
        </w:rPr>
        <w:t>标题：公司治理-反商业贿赂及反贪污</w:t>
      </w:r>
    </w:p>
    <w:p>
      <w:pPr>
        <w:jc w:val="left"/>
      </w:pPr>
      <w:r>
        <w:rPr>
          <w:rFonts w:ascii="等线" w:hAnsi="等线"/>
          <w:b w:val="0"/>
          <w:sz w:val="21"/>
        </w:rPr>
        <w:t>一、反商业贿赂及反贪污风险管理制度体系建立与运行情况</w:t>
      </w:r>
    </w:p>
    <w:p>
      <w:pPr>
        <w:jc w:val="left"/>
      </w:pPr>
      <w:r>
        <w:rPr>
          <w:rFonts w:ascii="等线" w:hAnsi="等线"/>
          <w:b w:val="0"/>
          <w:sz w:val="21"/>
        </w:rPr>
        <w:t>我们深知，在国际市场中，商业贿赂和贪污行为不仅会损害企业的声誉和形象，还会对企业的可持续发展造成严重威胁。因此，我们一直致力于建立和完善反商业贿赂及反贪污风险管理制度体系，并确保其有效运行。</w:t>
      </w:r>
    </w:p>
    <w:p>
      <w:pPr>
        <w:jc w:val="left"/>
      </w:pPr>
      <w:r>
        <w:rPr>
          <w:rFonts w:ascii="等线" w:hAnsi="等线"/>
          <w:b w:val="0"/>
          <w:sz w:val="21"/>
        </w:rPr>
        <w:t>我们的反商业贿赂及反贪污风险管理制度体系涵盖了企业的各个层面，包括董事会、管理层和员工。该体系明确了企业在反商业贿赂及反贪污方面的政策和程序，包括禁止商业贿赂和贪污行为、建立举报机制、进行风险评估和培训等。</w:t>
      </w:r>
    </w:p>
    <w:p>
      <w:pPr>
        <w:jc w:val="left"/>
      </w:pPr>
      <w:r>
        <w:rPr>
          <w:rFonts w:ascii="等线" w:hAnsi="等线"/>
          <w:b w:val="0"/>
          <w:sz w:val="21"/>
        </w:rPr>
        <w:t>为了确保该体系的有效运行，我们还建立了相应的监督和评估机制。我们定期对企业的反商业贿赂及反贪污风险管理制度体系进行内部审计和评估，以确保其符合国际标准和法律法规的要求。同时，我们还积极接受外部审计和监督，以提高企业的透明度和公信力。</w:t>
      </w:r>
    </w:p>
    <w:p>
      <w:pPr>
        <w:jc w:val="left"/>
      </w:pPr>
      <w:r>
        <w:rPr>
          <w:rFonts w:ascii="等线" w:hAnsi="等线"/>
          <w:b w:val="0"/>
          <w:sz w:val="21"/>
        </w:rPr>
        <w:t>二、对商业贿赂及贪污风险进行评估的情况</w:t>
      </w:r>
    </w:p>
    <w:p>
      <w:pPr>
        <w:jc w:val="left"/>
      </w:pPr>
      <w:r>
        <w:rPr>
          <w:rFonts w:ascii="等线" w:hAnsi="等线"/>
          <w:b w:val="0"/>
          <w:sz w:val="21"/>
        </w:rPr>
        <w:t>我们定期对企业的商业贿赂及贪污风险进行评估，以识别潜在的风险点和薄弱环节，并采取相应的措施加以防范和控制。我们的风险评估工作主要包括以下几个方面：</w:t>
      </w:r>
    </w:p>
    <w:p>
      <w:pPr>
        <w:jc w:val="left"/>
      </w:pPr>
      <w:r>
        <w:rPr>
          <w:rFonts w:ascii="等线" w:hAnsi="等线"/>
          <w:b w:val="0"/>
          <w:sz w:val="21"/>
        </w:rPr>
        <w:t>1. 对企业的业务流程进行梳理和分析，识别潜在的商业贿赂及贪污风险点；</w:t>
      </w:r>
    </w:p>
    <w:p>
      <w:pPr>
        <w:jc w:val="left"/>
      </w:pPr>
      <w:r>
        <w:rPr>
          <w:rFonts w:ascii="等线" w:hAnsi="等线"/>
          <w:b w:val="0"/>
          <w:sz w:val="21"/>
        </w:rPr>
        <w:t>2. 对企业的内部控制制度进行评估，以确保其能够有效地防范和控制商业贿赂及贪污风险；</w:t>
      </w:r>
    </w:p>
    <w:p>
      <w:pPr>
        <w:jc w:val="left"/>
      </w:pPr>
      <w:r>
        <w:rPr>
          <w:rFonts w:ascii="等线" w:hAnsi="等线"/>
          <w:b w:val="0"/>
          <w:sz w:val="21"/>
        </w:rPr>
        <w:t>3. 对企业的员工进行调查和访谈，了解他们对商业贿赂及贪污风险的认识和态度；</w:t>
      </w:r>
    </w:p>
    <w:p>
      <w:pPr>
        <w:jc w:val="left"/>
      </w:pPr>
      <w:r>
        <w:rPr>
          <w:rFonts w:ascii="等线" w:hAnsi="等线"/>
          <w:b w:val="0"/>
          <w:sz w:val="21"/>
        </w:rPr>
        <w:t>4. 对企业的合作伙伴进行评估，以确保其不存在商业贿赂及贪污行为。</w:t>
      </w:r>
    </w:p>
    <w:p>
      <w:pPr>
        <w:jc w:val="left"/>
      </w:pPr>
      <w:r>
        <w:rPr>
          <w:rFonts w:ascii="等线" w:hAnsi="等线"/>
          <w:b w:val="0"/>
          <w:sz w:val="21"/>
        </w:rPr>
        <w:t>通过以上风险评估工作，我们能够及时发现潜在的商业贿赂及贪污风险点，并采取相应的措施加以防范和控制。同时，我们还能够不断完善企业的反商业贿赂及反贪污风险管理制度体系，提高企业的风险管理水平。</w:t>
      </w:r>
    </w:p>
    <w:p>
      <w:pPr>
        <w:jc w:val="left"/>
      </w:pPr>
      <w:r>
        <w:rPr>
          <w:rFonts w:ascii="等线" w:hAnsi="等线"/>
          <w:b w:val="0"/>
          <w:sz w:val="21"/>
        </w:rPr>
        <w:t>三、接受反商业贿赂及反贪污培训的董事、管理层人员、员工总数和百分比</w:t>
      </w:r>
    </w:p>
    <w:p>
      <w:pPr>
        <w:jc w:val="left"/>
      </w:pPr>
      <w:r>
        <w:rPr>
          <w:rFonts w:ascii="等线" w:hAnsi="等线"/>
          <w:b w:val="0"/>
          <w:sz w:val="21"/>
        </w:rPr>
        <w:t>为了提高企业员工的反商业贿赂及反贪污意识和能力，我们定期组织反商业贿赂及反贪污培训。我们的培训对象包括董事、管理层人员和员工，培训内容涵盖了商业贿赂及贪污的定义、危害、法律法规、企业政策和程序等方面。</w:t>
      </w:r>
    </w:p>
    <w:p>
      <w:pPr>
        <w:jc w:val="left"/>
      </w:pPr>
      <w:r>
        <w:rPr>
          <w:rFonts w:ascii="等线" w:hAnsi="等线"/>
          <w:b w:val="0"/>
          <w:sz w:val="21"/>
        </w:rPr>
        <w:t>在报告期内，我们共组织了</w:t>
      </w:r>
      <w:r>
        <w:rPr>
          <w:rFonts w:ascii="等线" w:hAnsi="等线"/>
          <w:b w:val="0"/>
          <w:sz w:val="21"/>
          <w:highlight w:val="yellow"/>
        </w:rPr>
        <w:t>[X]</w:t>
      </w:r>
      <w:r>
        <w:rPr>
          <w:rFonts w:ascii="等线" w:hAnsi="等线"/>
          <w:b w:val="0"/>
          <w:sz w:val="21"/>
        </w:rPr>
        <w:t>次反商业贿赂及反贪污培训，培训董事、管理层人员和员工总数达到了</w:t>
      </w:r>
      <w:r>
        <w:rPr>
          <w:rFonts w:ascii="等线" w:hAnsi="等线"/>
          <w:b w:val="0"/>
          <w:sz w:val="21"/>
          <w:highlight w:val="yellow"/>
        </w:rPr>
        <w:t>[X]</w:t>
      </w:r>
      <w:r>
        <w:rPr>
          <w:rFonts w:ascii="等线" w:hAnsi="等线"/>
          <w:b w:val="0"/>
          <w:sz w:val="21"/>
        </w:rPr>
        <w:t>人，占企业员工总数的</w:t>
      </w:r>
      <w:r>
        <w:rPr>
          <w:rFonts w:ascii="等线" w:hAnsi="等线"/>
          <w:b w:val="0"/>
          <w:sz w:val="21"/>
          <w:highlight w:val="yellow"/>
        </w:rPr>
        <w:t>[X]</w:t>
      </w:r>
      <w:r>
        <w:rPr>
          <w:rFonts w:ascii="等线" w:hAnsi="等线"/>
          <w:b w:val="0"/>
          <w:sz w:val="21"/>
        </w:rPr>
        <w:t>%。通过这些培训，我们的员工对商业贿赂及贪污的认识和态度得到了明显提高，他们的反商业贿赂及反贪污意识和能力也得到了有效提升。</w:t>
      </w:r>
    </w:p>
    <w:p>
      <w:pPr>
        <w:jc w:val="left"/>
      </w:pPr>
      <w:r>
        <w:rPr>
          <w:rFonts w:ascii="等线" w:hAnsi="等线"/>
          <w:b w:val="0"/>
          <w:sz w:val="21"/>
        </w:rPr>
        <w:t>四、报告期内发生的商业贿赂及贪污事件的具体情况</w:t>
      </w:r>
    </w:p>
    <w:p>
      <w:pPr>
        <w:jc w:val="left"/>
      </w:pPr>
      <w:r>
        <w:rPr>
          <w:rFonts w:ascii="等线" w:hAnsi="等线"/>
          <w:b w:val="0"/>
          <w:sz w:val="21"/>
        </w:rPr>
        <w:t>在报告期内，我们没有发生任何商业贿赂及贪污事件。我们一直致力于建立和完善反商业贿赂及反贪污风险管理制度体系，并确保其有效运行。同时，我们还加强了对员工的教育和培训，提高了员工的反商业贿赂及反贪污意识和能力。通过这些措施，我们有效地防范和控制了商业贿赂及贪污风险，确保了企业的健康发展。</w:t>
      </w:r>
    </w:p>
    <w:p>
      <w:pPr>
        <w:jc w:val="left"/>
      </w:pPr>
      <w:r>
        <w:rPr>
          <w:rFonts w:ascii="等线" w:hAnsi="等线"/>
          <w:b w:val="0"/>
          <w:sz w:val="21"/>
        </w:rPr>
        <w:t>五、总结</w:t>
      </w:r>
    </w:p>
    <w:p>
      <w:pPr>
        <w:jc w:val="left"/>
      </w:pPr>
      <w:r>
        <w:rPr>
          <w:rFonts w:ascii="等线" w:hAnsi="等线"/>
          <w:b w:val="0"/>
          <w:sz w:val="21"/>
        </w:rPr>
        <w:t>在国际市场中，商业贿赂和贪污行为是企业面临的重要风险之一。我们一直高度重视反商业贿赂及反贪污工作，致力于建立和完善反商业贿赂及反贪污风险管理制度体系，并确保其有效运行。通过我们的努力，我们有效地防范和控制了商业贿赂及贪污风险，确保了企业的健康发展。同时，我们也将继续加强反商业贿赂及反贪污工作，不断完善我们的风险管理制度体系，提高我们的风险管理水平，为企业的可持续发展提供有力保障。</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rPr>
                <w:sz w:val="21"/>
              </w:rPr>
              <w:t>绩效指标</w:t>
            </w:r>
          </w:p>
        </w:tc>
        <w:tc>
          <w:tcPr>
            <w:tcW w:type="dxa" w:w="1928"/>
            <w:shd w:fill="f5f2f0"/>
          </w:tcPr>
          <w:p>
            <w:r>
              <w:rPr>
                <w:sz w:val="21"/>
              </w:rPr>
              <w:t>单位</w:t>
            </w:r>
          </w:p>
        </w:tc>
        <w:tc>
          <w:tcPr>
            <w:tcW w:type="dxa" w:w="1928"/>
            <w:shd w:fill="f5f2f0"/>
          </w:tcPr>
          <w:p>
            <w:r>
              <w:rPr>
                <w:sz w:val="21"/>
              </w:rPr>
              <w:t>2021</w:t>
            </w:r>
          </w:p>
        </w:tc>
        <w:tc>
          <w:tcPr>
            <w:tcW w:type="dxa" w:w="1928"/>
            <w:shd w:fill="f5f2f0"/>
          </w:tcPr>
          <w:p>
            <w:r>
              <w:rPr>
                <w:sz w:val="21"/>
              </w:rPr>
              <w:t>2022</w:t>
            </w:r>
          </w:p>
        </w:tc>
        <w:tc>
          <w:tcPr>
            <w:tcW w:type="dxa" w:w="1928"/>
            <w:shd w:fill="f5f2f0"/>
          </w:tcPr>
          <w:p>
            <w:r>
              <w:rPr>
                <w:sz w:val="21"/>
              </w:rPr>
              <w:t>2023</w:t>
            </w:r>
          </w:p>
        </w:tc>
      </w:tr>
      <w:tr>
        <w:tc>
          <w:tcPr>
            <w:tcW w:type="dxa" w:w="1928"/>
          </w:tcPr>
          <w:p>
            <w:r>
              <w:rPr>
                <w:sz w:val="21"/>
              </w:rPr>
              <w:t>经确认的腐败事件</w:t>
            </w:r>
          </w:p>
        </w:tc>
        <w:tc>
          <w:tcPr>
            <w:tcW w:type="dxa" w:w="1928"/>
          </w:tcPr>
          <w:p>
            <w:r>
              <w:rPr>
                <w:sz w:val="21"/>
              </w:rPr>
              <w:t>次</w:t>
            </w:r>
          </w:p>
        </w:tc>
        <w:tc>
          <w:tcPr>
            <w:tcW w:type="dxa" w:w="1928"/>
          </w:tcPr>
          <w:p>
            <w:r>
              <w:rPr>
                <w:sz w:val="21"/>
              </w:rPr>
            </w:r>
          </w:p>
        </w:tc>
        <w:tc>
          <w:tcPr>
            <w:tcW w:type="dxa" w:w="1928"/>
          </w:tcPr>
          <w:p>
            <w:r>
              <w:rPr>
                <w:sz w:val="21"/>
              </w:rPr>
            </w:r>
          </w:p>
        </w:tc>
        <w:tc>
          <w:tcPr>
            <w:tcW w:type="dxa" w:w="1928"/>
          </w:tcPr>
          <w:p>
            <w:r>
              <w:rPr>
                <w:sz w:val="21"/>
              </w:rPr>
            </w:r>
          </w:p>
        </w:tc>
      </w:tr>
      <w:tr>
        <w:tc>
          <w:tcPr>
            <w:tcW w:type="dxa" w:w="1928"/>
          </w:tcPr>
          <w:p>
            <w:r>
              <w:rPr>
                <w:sz w:val="21"/>
              </w:rPr>
              <w:t>已进行腐败风险评估的运营点</w:t>
            </w:r>
          </w:p>
        </w:tc>
        <w:tc>
          <w:tcPr>
            <w:tcW w:type="dxa" w:w="1928"/>
          </w:tcPr>
          <w:p>
            <w:r>
              <w:rPr>
                <w:sz w:val="21"/>
              </w:rPr>
              <w:t>家</w:t>
            </w:r>
          </w:p>
        </w:tc>
        <w:tc>
          <w:tcPr>
            <w:tcW w:type="dxa" w:w="1928"/>
          </w:tcPr>
          <w:p>
            <w:r>
              <w:rPr>
                <w:sz w:val="21"/>
              </w:rPr>
            </w:r>
          </w:p>
        </w:tc>
        <w:tc>
          <w:tcPr>
            <w:tcW w:type="dxa" w:w="1928"/>
          </w:tcPr>
          <w:p>
            <w:r>
              <w:rPr>
                <w:sz w:val="21"/>
              </w:rPr>
            </w:r>
          </w:p>
        </w:tc>
        <w:tc>
          <w:tcPr>
            <w:tcW w:type="dxa" w:w="1928"/>
          </w:tcPr>
          <w:p>
            <w:r>
              <w:rPr>
                <w:sz w:val="21"/>
              </w:rPr>
            </w:r>
          </w:p>
        </w:tc>
      </w:tr>
    </w:tbl>
    <w:p>
      <w:pPr>
        <w:pStyle w:val="Heading2"/>
      </w:pPr>
      <w:r>
        <w:rPr>
          <w:rFonts w:ascii="等线" w:hAnsi="等线" w:eastAsia="等线"/>
          <w:color w:val="000000"/>
          <w:sz w:val="32"/>
        </w:rPr>
        <w:t>反不正当竞争</w:t>
      </w:r>
    </w:p>
    <w:p>
      <w:pPr>
        <w:jc w:val="left"/>
      </w:pPr>
      <w:r>
        <w:rPr>
          <w:rFonts w:ascii="等线" w:hAnsi="等线"/>
          <w:b w:val="0"/>
          <w:sz w:val="21"/>
        </w:rPr>
        <w:t>公司治理-反不正当竞争</w:t>
      </w:r>
    </w:p>
    <w:p>
      <w:pPr>
        <w:jc w:val="left"/>
      </w:pPr>
      <w:r>
        <w:rPr>
          <w:rFonts w:ascii="等线" w:hAnsi="等线"/>
          <w:b w:val="0"/>
          <w:sz w:val="21"/>
        </w:rPr>
        <w:t>在当今竞争激烈的商业环境中，反不正当竞争对于企业的可持续发展至关重要。作为一家面向国际市场的大型民营汽车零部件企业，我们高度重视反不正当竞争工作，并积极采取一系列措施来确保公司的经营活动合法、公正、透明。本报告将详细披露我们在报告期内反不正当竞争工作的具体情况。</w:t>
      </w:r>
    </w:p>
    <w:p>
      <w:pPr>
        <w:jc w:val="left"/>
      </w:pPr>
      <w:r>
        <w:rPr>
          <w:rFonts w:ascii="等线" w:hAnsi="等线"/>
          <w:b w:val="0"/>
          <w:sz w:val="21"/>
        </w:rPr>
        <w:t>一、防范不正当竞争行为管理制度体系建立与运作情况及具体措施</w:t>
      </w:r>
    </w:p>
    <w:p>
      <w:pPr>
        <w:jc w:val="left"/>
      </w:pPr>
      <w:r>
        <w:rPr>
          <w:rFonts w:ascii="等线" w:hAnsi="等线"/>
          <w:b w:val="0"/>
          <w:sz w:val="21"/>
        </w:rPr>
        <w:t>1. 制度建设</w:t>
      </w:r>
    </w:p>
    <w:p>
      <w:pPr>
        <w:ind w:left="480"/>
        <w:jc w:val="left"/>
      </w:pPr>
      <w:r>
        <w:rPr>
          <w:rFonts w:ascii="等线" w:hAnsi="等线"/>
          <w:b w:val="0"/>
          <w:sz w:val="21"/>
        </w:rPr>
        <w:t>◦ 我们建立了完善的反不正当竞争管理制度体系，明确了公司在市场竞争中的行为准则和规范。</w:t>
      </w:r>
    </w:p>
    <w:p>
      <w:pPr>
        <w:ind w:left="480"/>
        <w:jc w:val="left"/>
      </w:pPr>
      <w:r>
        <w:rPr>
          <w:rFonts w:ascii="等线" w:hAnsi="等线"/>
          <w:b w:val="0"/>
          <w:sz w:val="21"/>
        </w:rPr>
        <w:t>◦ 制定了《反不正当竞争管理办法》，对虚假宣传、实施垄断行为、侵犯商业秘密等不正当竞争行为进行了明确界定，并规定了相应的处罚措施。</w:t>
      </w:r>
    </w:p>
    <w:p>
      <w:pPr>
        <w:ind w:left="480"/>
        <w:jc w:val="left"/>
      </w:pPr>
      <w:r>
        <w:rPr>
          <w:rFonts w:ascii="等线" w:hAnsi="等线"/>
          <w:b w:val="0"/>
          <w:sz w:val="21"/>
        </w:rPr>
        <w:t>◦ 设立了专门的反不正当竞争管理机构，负责监督和执行公司的反不正当竞争政策。</w:t>
      </w:r>
    </w:p>
    <w:p>
      <w:pPr>
        <w:jc w:val="left"/>
      </w:pPr>
      <w:r>
        <w:rPr>
          <w:rFonts w:ascii="等线" w:hAnsi="等线"/>
          <w:b w:val="0"/>
          <w:sz w:val="21"/>
        </w:rPr>
        <w:t>2. 培训与教育</w:t>
      </w:r>
    </w:p>
    <w:p>
      <w:pPr>
        <w:ind w:left="480"/>
        <w:jc w:val="left"/>
      </w:pPr>
      <w:r>
        <w:rPr>
          <w:rFonts w:ascii="等线" w:hAnsi="等线"/>
          <w:b w:val="0"/>
          <w:sz w:val="21"/>
        </w:rPr>
        <w:t>◦ 定期组织员工培训，提高员工对反不正当竞争法律法规的认识和理解。</w:t>
      </w:r>
    </w:p>
    <w:p>
      <w:pPr>
        <w:ind w:left="480"/>
        <w:jc w:val="left"/>
      </w:pPr>
      <w:r>
        <w:rPr>
          <w:rFonts w:ascii="等线" w:hAnsi="等线"/>
          <w:b w:val="0"/>
          <w:sz w:val="21"/>
        </w:rPr>
        <w:t>◦ 开展案例分析和警示教育，增强员工的法律意识和风险防范意识。</w:t>
      </w:r>
    </w:p>
    <w:p>
      <w:pPr>
        <w:ind w:left="480"/>
        <w:jc w:val="left"/>
      </w:pPr>
      <w:r>
        <w:rPr>
          <w:rFonts w:ascii="等线" w:hAnsi="等线"/>
          <w:b w:val="0"/>
          <w:sz w:val="21"/>
        </w:rPr>
        <w:t>◦ 鼓励员工积极参与反不正当竞争工作，发现问题及时报告。</w:t>
      </w:r>
    </w:p>
    <w:p>
      <w:pPr>
        <w:jc w:val="left"/>
      </w:pPr>
      <w:r>
        <w:rPr>
          <w:rFonts w:ascii="等线" w:hAnsi="等线"/>
          <w:b w:val="0"/>
          <w:sz w:val="21"/>
        </w:rPr>
        <w:t>3. 监督与检查</w:t>
      </w:r>
    </w:p>
    <w:p>
      <w:pPr>
        <w:ind w:left="480"/>
        <w:jc w:val="left"/>
      </w:pPr>
      <w:r>
        <w:rPr>
          <w:rFonts w:ascii="等线" w:hAnsi="等线"/>
          <w:b w:val="0"/>
          <w:sz w:val="21"/>
        </w:rPr>
        <w:t>◦ 加强对公司经营活动的监督和检查，及时发现和纠正不正当竞争行为。</w:t>
      </w:r>
    </w:p>
    <w:p>
      <w:pPr>
        <w:ind w:left="480"/>
        <w:jc w:val="left"/>
      </w:pPr>
      <w:r>
        <w:rPr>
          <w:rFonts w:ascii="等线" w:hAnsi="等线"/>
          <w:b w:val="0"/>
          <w:sz w:val="21"/>
        </w:rPr>
        <w:t>◦ 建立了举报机制，鼓励员工和外部合作伙伴对不正当竞争行为进行举报。</w:t>
      </w:r>
    </w:p>
    <w:p>
      <w:pPr>
        <w:ind w:left="480"/>
        <w:jc w:val="left"/>
      </w:pPr>
      <w:r>
        <w:rPr>
          <w:rFonts w:ascii="等线" w:hAnsi="等线"/>
          <w:b w:val="0"/>
          <w:sz w:val="21"/>
        </w:rPr>
        <w:t>◦ 对举报线索进行认真调查核实，对查实的不正当竞争行为进行严肃处理。</w:t>
      </w:r>
    </w:p>
    <w:p>
      <w:pPr>
        <w:jc w:val="left"/>
      </w:pPr>
      <w:r>
        <w:rPr>
          <w:rFonts w:ascii="等线" w:hAnsi="等线"/>
          <w:b w:val="0"/>
          <w:sz w:val="21"/>
        </w:rPr>
        <w:t>4. 合作伙伴管理</w:t>
      </w:r>
    </w:p>
    <w:p>
      <w:pPr>
        <w:ind w:left="480"/>
        <w:jc w:val="left"/>
      </w:pPr>
      <w:r>
        <w:rPr>
          <w:rFonts w:ascii="等线" w:hAnsi="等线"/>
          <w:b w:val="0"/>
          <w:sz w:val="21"/>
        </w:rPr>
        <w:t>◦ 与供应商、客户等合作伙伴签订合同，明确双方在反不正当竞争方面的权利和义务。</w:t>
      </w:r>
    </w:p>
    <w:p>
      <w:pPr>
        <w:ind w:left="480"/>
        <w:jc w:val="left"/>
      </w:pPr>
      <w:r>
        <w:rPr>
          <w:rFonts w:ascii="等线" w:hAnsi="等线"/>
          <w:b w:val="0"/>
          <w:sz w:val="21"/>
        </w:rPr>
        <w:t>◦ 对合作伙伴进行定期评估，确保其遵守反不正当竞争法律法规。</w:t>
      </w:r>
    </w:p>
    <w:p>
      <w:pPr>
        <w:ind w:left="480"/>
        <w:jc w:val="left"/>
      </w:pPr>
      <w:r>
        <w:rPr>
          <w:rFonts w:ascii="等线" w:hAnsi="等线"/>
          <w:b w:val="0"/>
          <w:sz w:val="21"/>
        </w:rPr>
        <w:t>◦ 对发现的合作伙伴不正当竞争行为，及时采取措施予以纠正。</w:t>
      </w:r>
    </w:p>
    <w:p>
      <w:pPr>
        <w:jc w:val="left"/>
      </w:pPr>
      <w:r>
        <w:rPr>
          <w:rFonts w:ascii="等线" w:hAnsi="等线"/>
          <w:b w:val="0"/>
          <w:sz w:val="21"/>
        </w:rPr>
        <w:t>二、报告期内因公司不正当竞争行为导致诉讼或重大行政处罚的情况</w:t>
      </w:r>
    </w:p>
    <w:p>
      <w:pPr>
        <w:jc w:val="left"/>
      </w:pPr>
      <w:r>
        <w:rPr>
          <w:rFonts w:ascii="等线" w:hAnsi="等线"/>
          <w:b w:val="0"/>
          <w:sz w:val="21"/>
        </w:rPr>
        <w:t>在报告期内，我们没有因公司不正当竞争行为导致诉讼或重大行政处罚的情况发生。我们始终坚持合法经营、诚信竞争的原则，严格遵守反不正当竞争法律法规，积极维护市场竞争秩序。</w:t>
      </w:r>
    </w:p>
    <w:p>
      <w:pPr>
        <w:jc w:val="left"/>
      </w:pPr>
      <w:r>
        <w:rPr>
          <w:rFonts w:ascii="等线" w:hAnsi="等线"/>
          <w:b w:val="0"/>
          <w:sz w:val="21"/>
        </w:rPr>
        <w:t>三、整改措施</w:t>
      </w:r>
    </w:p>
    <w:p>
      <w:pPr>
        <w:jc w:val="left"/>
      </w:pPr>
      <w:r>
        <w:rPr>
          <w:rFonts w:ascii="等线" w:hAnsi="等线"/>
          <w:b w:val="0"/>
          <w:sz w:val="21"/>
        </w:rPr>
        <w:t>尽管我们在报告期内没有发生不正当竞争行为，但我们仍将持续加强反不正当竞争工作，不断完善管理制度体系，提高员工的法律意识和风险防范意识，加强监督检查，确保公司的经营活动合法、公正、透明。</w:t>
      </w:r>
    </w:p>
    <w:p>
      <w:pPr>
        <w:jc w:val="left"/>
      </w:pPr>
      <w:r>
        <w:rPr>
          <w:rFonts w:ascii="等线" w:hAnsi="等线"/>
          <w:b w:val="0"/>
          <w:sz w:val="21"/>
        </w:rPr>
        <w:t>同时，我们将积极关注国内外反不正当竞争法律法规的变化，及时调整公司的经营策略和管理措施，以适应不断变化的市场环境。我们也将加强与行业协会、监管部门等的沟通与合作，共同推动行业的健康发展。</w:t>
      </w:r>
    </w:p>
    <w:p>
      <w:pPr>
        <w:jc w:val="left"/>
      </w:pPr>
      <w:r>
        <w:rPr>
          <w:rFonts w:ascii="等线" w:hAnsi="等线"/>
          <w:b w:val="0"/>
          <w:sz w:val="21"/>
        </w:rPr>
        <w:t>总之，反不正当竞争是企业可持续发展的重要保障。我们将继续加强反不正当竞争工作，不断提高公司的治理水平和市场竞争力，为股东、员工、客户和社会创造更大的价值。</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rPr>
                <w:sz w:val="21"/>
              </w:rPr>
              <w:t>绩效指标</w:t>
            </w:r>
          </w:p>
        </w:tc>
        <w:tc>
          <w:tcPr>
            <w:tcW w:type="dxa" w:w="1928"/>
            <w:shd w:fill="f5f2f0"/>
          </w:tcPr>
          <w:p>
            <w:r>
              <w:rPr>
                <w:sz w:val="21"/>
              </w:rPr>
              <w:t>单位</w:t>
            </w:r>
          </w:p>
        </w:tc>
        <w:tc>
          <w:tcPr>
            <w:tcW w:type="dxa" w:w="1928"/>
            <w:shd w:fill="f5f2f0"/>
          </w:tcPr>
          <w:p>
            <w:r>
              <w:rPr>
                <w:sz w:val="21"/>
              </w:rPr>
              <w:t>2021</w:t>
            </w:r>
          </w:p>
        </w:tc>
        <w:tc>
          <w:tcPr>
            <w:tcW w:type="dxa" w:w="1928"/>
            <w:shd w:fill="f5f2f0"/>
          </w:tcPr>
          <w:p>
            <w:r>
              <w:rPr>
                <w:sz w:val="21"/>
              </w:rPr>
              <w:t>2022</w:t>
            </w:r>
          </w:p>
        </w:tc>
        <w:tc>
          <w:tcPr>
            <w:tcW w:type="dxa" w:w="1928"/>
            <w:shd w:fill="f5f2f0"/>
          </w:tcPr>
          <w:p>
            <w:r>
              <w:rPr>
                <w:sz w:val="21"/>
              </w:rPr>
              <w:t>2023</w:t>
            </w:r>
          </w:p>
        </w:tc>
      </w:tr>
      <w:tr>
        <w:tc>
          <w:tcPr>
            <w:tcW w:type="dxa" w:w="1928"/>
          </w:tcPr>
          <w:p>
            <w:r>
              <w:rPr>
                <w:sz w:val="21"/>
              </w:rPr>
              <w:t>垄断或不正当竞争纠纷数量</w:t>
            </w:r>
          </w:p>
        </w:tc>
        <w:tc>
          <w:tcPr>
            <w:tcW w:type="dxa" w:w="1928"/>
          </w:tcPr>
          <w:p>
            <w:r>
              <w:rPr>
                <w:sz w:val="21"/>
              </w:rPr>
              <w:t>次</w:t>
            </w:r>
          </w:p>
        </w:tc>
        <w:tc>
          <w:tcPr>
            <w:tcW w:type="dxa" w:w="1928"/>
          </w:tcPr>
          <w:p>
            <w:r>
              <w:rPr>
                <w:sz w:val="21"/>
              </w:rPr>
            </w:r>
          </w:p>
        </w:tc>
        <w:tc>
          <w:tcPr>
            <w:tcW w:type="dxa" w:w="1928"/>
          </w:tcPr>
          <w:p>
            <w:r>
              <w:rPr>
                <w:sz w:val="21"/>
              </w:rPr>
            </w:r>
          </w:p>
        </w:tc>
        <w:tc>
          <w:tcPr>
            <w:tcW w:type="dxa" w:w="1928"/>
          </w:tcPr>
          <w:p>
            <w:r>
              <w:rPr>
                <w:sz w:val="21"/>
              </w:rPr>
            </w:r>
          </w:p>
        </w:tc>
      </w:tr>
    </w:tbl>
    <w:p>
      <w:r>
        <w:br w:type="page"/>
      </w:r>
    </w:p>
    <w:p>
      <w:pPr>
        <w:pStyle w:val="Heading1"/>
      </w:pPr>
      <w:r>
        <w:rPr>
          <w:rFonts w:ascii="等线" w:hAnsi="等线" w:eastAsia="等线"/>
          <w:color w:val="000000"/>
          <w:sz w:val="44"/>
        </w:rPr>
        <w:t>量化指标汇总表</w:t>
      </w:r>
    </w:p>
    <w:p>
      <w:r>
        <w:t>应对气候变化</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t>应对气候变化</w:t>
            </w:r>
          </w:p>
        </w:tc>
        <w:tc>
          <w:tcPr>
            <w:tcW w:type="dxa" w:w="1928"/>
            <w:shd w:fill="f5f2f0"/>
          </w:tcPr>
          <w:p>
            <w:r>
              <w:t>单位</w:t>
            </w:r>
          </w:p>
        </w:tc>
        <w:tc>
          <w:tcPr>
            <w:tcW w:type="dxa" w:w="1928"/>
            <w:shd w:fill="f5f2f0"/>
          </w:tcPr>
          <w:p>
            <w:r>
              <w:t>2021</w:t>
            </w:r>
          </w:p>
        </w:tc>
        <w:tc>
          <w:tcPr>
            <w:tcW w:type="dxa" w:w="1928"/>
            <w:shd w:fill="f5f2f0"/>
          </w:tcPr>
          <w:p>
            <w:r>
              <w:t>2022</w:t>
            </w:r>
          </w:p>
        </w:tc>
        <w:tc>
          <w:tcPr>
            <w:tcW w:type="dxa" w:w="1928"/>
            <w:shd w:fill="f5f2f0"/>
          </w:tcPr>
          <w:p>
            <w:r>
              <w:t>2023</w:t>
            </w:r>
          </w:p>
        </w:tc>
      </w:tr>
      <w:tr>
        <w:tc>
          <w:tcPr>
            <w:tcW w:type="dxa" w:w="1928"/>
          </w:tcPr>
          <w:p>
            <w:r>
              <w:t>温室气体排放总量</w:t>
            </w:r>
          </w:p>
        </w:tc>
        <w:tc>
          <w:tcPr>
            <w:tcW w:type="dxa" w:w="1928"/>
          </w:tcPr>
          <w:p>
            <w:r>
              <w:t>吨CO2当量</w:t>
            </w:r>
          </w:p>
        </w:tc>
        <w:tc>
          <w:tcPr>
            <w:tcW w:type="dxa" w:w="1928"/>
          </w:tcPr>
          <w:p>
            <w:r>
              <w:t>/</w:t>
            </w:r>
          </w:p>
        </w:tc>
        <w:tc>
          <w:tcPr>
            <w:tcW w:type="dxa" w:w="1928"/>
          </w:tcPr>
          <w:p>
            <w:r>
              <w:t>/</w:t>
            </w:r>
          </w:p>
        </w:tc>
        <w:tc>
          <w:tcPr>
            <w:tcW w:type="dxa" w:w="1928"/>
          </w:tcPr>
          <w:p>
            <w:r>
              <w:t>/</w:t>
            </w:r>
          </w:p>
        </w:tc>
      </w:tr>
      <w:tr>
        <w:tc>
          <w:tcPr>
            <w:tcW w:type="dxa" w:w="1928"/>
          </w:tcPr>
          <w:p>
            <w:r>
              <w:t>温室气体排放量：范围1</w:t>
            </w:r>
          </w:p>
        </w:tc>
        <w:tc>
          <w:tcPr>
            <w:tcW w:type="dxa" w:w="1928"/>
          </w:tcPr>
          <w:p>
            <w:r>
              <w:t>吨CO2当量</w:t>
            </w:r>
          </w:p>
        </w:tc>
        <w:tc>
          <w:tcPr>
            <w:tcW w:type="dxa" w:w="1928"/>
          </w:tcPr>
          <w:p>
            <w:r>
              <w:t>/</w:t>
            </w:r>
          </w:p>
        </w:tc>
        <w:tc>
          <w:tcPr>
            <w:tcW w:type="dxa" w:w="1928"/>
          </w:tcPr>
          <w:p>
            <w:r>
              <w:t>/</w:t>
            </w:r>
          </w:p>
        </w:tc>
        <w:tc>
          <w:tcPr>
            <w:tcW w:type="dxa" w:w="1928"/>
          </w:tcPr>
          <w:p>
            <w:r>
              <w:t>/</w:t>
            </w:r>
          </w:p>
        </w:tc>
      </w:tr>
      <w:tr>
        <w:tc>
          <w:tcPr>
            <w:tcW w:type="dxa" w:w="1928"/>
          </w:tcPr>
          <w:p>
            <w:r>
              <w:t>温室气体排放量：范围2</w:t>
            </w:r>
          </w:p>
        </w:tc>
        <w:tc>
          <w:tcPr>
            <w:tcW w:type="dxa" w:w="1928"/>
          </w:tcPr>
          <w:p>
            <w:r>
              <w:t>吨CO2当量</w:t>
            </w:r>
          </w:p>
        </w:tc>
        <w:tc>
          <w:tcPr>
            <w:tcW w:type="dxa" w:w="1928"/>
          </w:tcPr>
          <w:p>
            <w:r>
              <w:t>/</w:t>
            </w:r>
          </w:p>
        </w:tc>
        <w:tc>
          <w:tcPr>
            <w:tcW w:type="dxa" w:w="1928"/>
          </w:tcPr>
          <w:p>
            <w:r>
              <w:t>/</w:t>
            </w:r>
          </w:p>
        </w:tc>
        <w:tc>
          <w:tcPr>
            <w:tcW w:type="dxa" w:w="1928"/>
          </w:tcPr>
          <w:p>
            <w:r>
              <w:t>/</w:t>
            </w:r>
          </w:p>
        </w:tc>
      </w:tr>
      <w:tr>
        <w:tc>
          <w:tcPr>
            <w:tcW w:type="dxa" w:w="1928"/>
          </w:tcPr>
          <w:p>
            <w:r>
              <w:t>温室气体排放量：范围3</w:t>
            </w:r>
          </w:p>
        </w:tc>
        <w:tc>
          <w:tcPr>
            <w:tcW w:type="dxa" w:w="1928"/>
          </w:tcPr>
          <w:p>
            <w:r>
              <w:t>吨CO2当量</w:t>
            </w:r>
          </w:p>
        </w:tc>
        <w:tc>
          <w:tcPr>
            <w:tcW w:type="dxa" w:w="1928"/>
          </w:tcPr>
          <w:p>
            <w:r>
              <w:t>/</w:t>
            </w:r>
          </w:p>
        </w:tc>
        <w:tc>
          <w:tcPr>
            <w:tcW w:type="dxa" w:w="1928"/>
          </w:tcPr>
          <w:p>
            <w:r>
              <w:t>/</w:t>
            </w:r>
          </w:p>
        </w:tc>
        <w:tc>
          <w:tcPr>
            <w:tcW w:type="dxa" w:w="1928"/>
          </w:tcPr>
          <w:p>
            <w:r>
              <w:t>/</w:t>
            </w:r>
          </w:p>
        </w:tc>
      </w:tr>
      <w:tr>
        <w:tc>
          <w:tcPr>
            <w:tcW w:type="dxa" w:w="1928"/>
          </w:tcPr>
          <w:p>
            <w:r>
              <w:t>单位营收温室气体排放总量</w:t>
            </w:r>
          </w:p>
        </w:tc>
        <w:tc>
          <w:tcPr>
            <w:tcW w:type="dxa" w:w="1928"/>
          </w:tcPr>
          <w:p>
            <w:r>
              <w:t>吨CO2当量/万元</w:t>
            </w:r>
          </w:p>
        </w:tc>
        <w:tc>
          <w:tcPr>
            <w:tcW w:type="dxa" w:w="1928"/>
          </w:tcPr>
          <w:p>
            <w:r>
              <w:t>/</w:t>
            </w:r>
          </w:p>
        </w:tc>
        <w:tc>
          <w:tcPr>
            <w:tcW w:type="dxa" w:w="1928"/>
          </w:tcPr>
          <w:p>
            <w:r>
              <w:t>/</w:t>
            </w:r>
          </w:p>
        </w:tc>
        <w:tc>
          <w:tcPr>
            <w:tcW w:type="dxa" w:w="1928"/>
          </w:tcPr>
          <w:p>
            <w:r>
              <w:t>/</w:t>
            </w:r>
          </w:p>
        </w:tc>
      </w:tr>
      <w:tr>
        <w:tc>
          <w:tcPr>
            <w:tcW w:type="dxa" w:w="1928"/>
          </w:tcPr>
          <w:p>
            <w:r>
              <w:t>使用的碳信用额度的数量</w:t>
            </w:r>
          </w:p>
        </w:tc>
        <w:tc>
          <w:tcPr>
            <w:tcW w:type="dxa" w:w="1928"/>
          </w:tcPr>
          <w:p>
            <w:r>
              <w:t>吨CO2当量</w:t>
            </w:r>
          </w:p>
        </w:tc>
        <w:tc>
          <w:tcPr>
            <w:tcW w:type="dxa" w:w="1928"/>
          </w:tcPr>
          <w:p>
            <w:r>
              <w:t>/</w:t>
            </w:r>
          </w:p>
        </w:tc>
        <w:tc>
          <w:tcPr>
            <w:tcW w:type="dxa" w:w="1928"/>
          </w:tcPr>
          <w:p>
            <w:r>
              <w:t>/</w:t>
            </w:r>
          </w:p>
        </w:tc>
        <w:tc>
          <w:tcPr>
            <w:tcW w:type="dxa" w:w="1928"/>
          </w:tcPr>
          <w:p>
            <w:r>
              <w:t>/</w:t>
            </w:r>
          </w:p>
        </w:tc>
      </w:tr>
      <w:tr>
        <w:tc>
          <w:tcPr>
            <w:tcW w:type="dxa" w:w="1928"/>
          </w:tcPr>
          <w:p>
            <w:r>
              <w:t>是否完成碳配额清缴</w:t>
            </w:r>
          </w:p>
        </w:tc>
        <w:tc>
          <w:tcPr>
            <w:tcW w:type="dxa" w:w="1928"/>
          </w:tcPr>
          <w:p>
            <w:r/>
          </w:p>
        </w:tc>
        <w:tc>
          <w:tcPr>
            <w:tcW w:type="dxa" w:w="1928"/>
          </w:tcPr>
          <w:p>
            <w:r>
              <w:t>/</w:t>
            </w:r>
          </w:p>
        </w:tc>
        <w:tc>
          <w:tcPr>
            <w:tcW w:type="dxa" w:w="1928"/>
          </w:tcPr>
          <w:p>
            <w:r>
              <w:t>/</w:t>
            </w:r>
          </w:p>
        </w:tc>
        <w:tc>
          <w:tcPr>
            <w:tcW w:type="dxa" w:w="1928"/>
          </w:tcPr>
          <w:p>
            <w:r>
              <w:t>/</w:t>
            </w:r>
          </w:p>
        </w:tc>
      </w:tr>
      <w:tr>
        <w:tc>
          <w:tcPr>
            <w:tcW w:type="dxa" w:w="1928"/>
          </w:tcPr>
          <w:p>
            <w:r>
              <w:t>温室气体范围1减排量</w:t>
            </w:r>
          </w:p>
        </w:tc>
        <w:tc>
          <w:tcPr>
            <w:tcW w:type="dxa" w:w="1928"/>
          </w:tcPr>
          <w:p>
            <w:r>
              <w:t>吨CO2当量</w:t>
            </w:r>
          </w:p>
        </w:tc>
        <w:tc>
          <w:tcPr>
            <w:tcW w:type="dxa" w:w="1928"/>
          </w:tcPr>
          <w:p>
            <w:r>
              <w:t>/</w:t>
            </w:r>
          </w:p>
        </w:tc>
        <w:tc>
          <w:tcPr>
            <w:tcW w:type="dxa" w:w="1928"/>
          </w:tcPr>
          <w:p>
            <w:r>
              <w:t>/</w:t>
            </w:r>
          </w:p>
        </w:tc>
        <w:tc>
          <w:tcPr>
            <w:tcW w:type="dxa" w:w="1928"/>
          </w:tcPr>
          <w:p>
            <w:r>
              <w:t>/</w:t>
            </w:r>
          </w:p>
        </w:tc>
      </w:tr>
      <w:tr>
        <w:tc>
          <w:tcPr>
            <w:tcW w:type="dxa" w:w="1928"/>
          </w:tcPr>
          <w:p>
            <w:r>
              <w:t>温室气体范围2减排量</w:t>
            </w:r>
          </w:p>
        </w:tc>
        <w:tc>
          <w:tcPr>
            <w:tcW w:type="dxa" w:w="1928"/>
          </w:tcPr>
          <w:p>
            <w:r>
              <w:t>吨CO2当量</w:t>
            </w:r>
          </w:p>
        </w:tc>
        <w:tc>
          <w:tcPr>
            <w:tcW w:type="dxa" w:w="1928"/>
          </w:tcPr>
          <w:p>
            <w:r>
              <w:t>/</w:t>
            </w:r>
          </w:p>
        </w:tc>
        <w:tc>
          <w:tcPr>
            <w:tcW w:type="dxa" w:w="1928"/>
          </w:tcPr>
          <w:p>
            <w:r>
              <w:t>/</w:t>
            </w:r>
          </w:p>
        </w:tc>
        <w:tc>
          <w:tcPr>
            <w:tcW w:type="dxa" w:w="1928"/>
          </w:tcPr>
          <w:p>
            <w:r>
              <w:t>/</w:t>
            </w:r>
          </w:p>
        </w:tc>
      </w:tr>
      <w:tr>
        <w:tc>
          <w:tcPr>
            <w:tcW w:type="dxa" w:w="1928"/>
          </w:tcPr>
          <w:p>
            <w:r>
              <w:t>温室气体范围3减排量</w:t>
            </w:r>
          </w:p>
        </w:tc>
        <w:tc>
          <w:tcPr>
            <w:tcW w:type="dxa" w:w="1928"/>
          </w:tcPr>
          <w:p>
            <w:r>
              <w:t>吨CO2当量</w:t>
            </w:r>
          </w:p>
        </w:tc>
        <w:tc>
          <w:tcPr>
            <w:tcW w:type="dxa" w:w="1928"/>
          </w:tcPr>
          <w:p>
            <w:r>
              <w:t>/</w:t>
            </w:r>
          </w:p>
        </w:tc>
        <w:tc>
          <w:tcPr>
            <w:tcW w:type="dxa" w:w="1928"/>
          </w:tcPr>
          <w:p>
            <w:r>
              <w:t>/</w:t>
            </w:r>
          </w:p>
        </w:tc>
        <w:tc>
          <w:tcPr>
            <w:tcW w:type="dxa" w:w="1928"/>
          </w:tcPr>
          <w:p>
            <w:r>
              <w:t>/</w:t>
            </w:r>
          </w:p>
        </w:tc>
      </w:tr>
      <w:tr>
        <w:tc>
          <w:tcPr>
            <w:tcW w:type="dxa" w:w="1928"/>
          </w:tcPr>
          <w:p>
            <w:r>
              <w:t>被分配的碳配额数量</w:t>
            </w:r>
          </w:p>
        </w:tc>
        <w:tc>
          <w:tcPr>
            <w:tcW w:type="dxa" w:w="1928"/>
          </w:tcPr>
          <w:p>
            <w:r>
              <w:t>吨CO2当量</w:t>
            </w:r>
          </w:p>
        </w:tc>
        <w:tc>
          <w:tcPr>
            <w:tcW w:type="dxa" w:w="1928"/>
          </w:tcPr>
          <w:p>
            <w:r>
              <w:t>/</w:t>
            </w:r>
          </w:p>
        </w:tc>
        <w:tc>
          <w:tcPr>
            <w:tcW w:type="dxa" w:w="1928"/>
          </w:tcPr>
          <w:p>
            <w:r>
              <w:t>/</w:t>
            </w:r>
          </w:p>
        </w:tc>
        <w:tc>
          <w:tcPr>
            <w:tcW w:type="dxa" w:w="1928"/>
          </w:tcPr>
          <w:p>
            <w:r>
              <w:t>/</w:t>
            </w:r>
          </w:p>
        </w:tc>
      </w:tr>
      <w:tr>
        <w:tc>
          <w:tcPr>
            <w:tcW w:type="dxa" w:w="1928"/>
          </w:tcPr>
          <w:p>
            <w:r>
              <w:t>碳交易中出售的碳配额数量</w:t>
            </w:r>
          </w:p>
        </w:tc>
        <w:tc>
          <w:tcPr>
            <w:tcW w:type="dxa" w:w="1928"/>
          </w:tcPr>
          <w:p>
            <w:r>
              <w:t>吨CO2当量</w:t>
            </w:r>
          </w:p>
        </w:tc>
        <w:tc>
          <w:tcPr>
            <w:tcW w:type="dxa" w:w="1928"/>
          </w:tcPr>
          <w:p>
            <w:r>
              <w:t>/</w:t>
            </w:r>
          </w:p>
        </w:tc>
        <w:tc>
          <w:tcPr>
            <w:tcW w:type="dxa" w:w="1928"/>
          </w:tcPr>
          <w:p>
            <w:r>
              <w:t>/</w:t>
            </w:r>
          </w:p>
        </w:tc>
        <w:tc>
          <w:tcPr>
            <w:tcW w:type="dxa" w:w="1928"/>
          </w:tcPr>
          <w:p>
            <w:r>
              <w:t>/</w:t>
            </w:r>
          </w:p>
        </w:tc>
      </w:tr>
      <w:tr>
        <w:tc>
          <w:tcPr>
            <w:tcW w:type="dxa" w:w="1928"/>
          </w:tcPr>
          <w:p>
            <w:r>
              <w:t>碳交易中购买的碳配额数量</w:t>
            </w:r>
          </w:p>
        </w:tc>
        <w:tc>
          <w:tcPr>
            <w:tcW w:type="dxa" w:w="1928"/>
          </w:tcPr>
          <w:p>
            <w:r>
              <w:t>吨CO2当量</w:t>
            </w:r>
          </w:p>
        </w:tc>
        <w:tc>
          <w:tcPr>
            <w:tcW w:type="dxa" w:w="1928"/>
          </w:tcPr>
          <w:p>
            <w:r>
              <w:t>/</w:t>
            </w:r>
          </w:p>
        </w:tc>
        <w:tc>
          <w:tcPr>
            <w:tcW w:type="dxa" w:w="1928"/>
          </w:tcPr>
          <w:p>
            <w:r>
              <w:t>/</w:t>
            </w:r>
          </w:p>
        </w:tc>
        <w:tc>
          <w:tcPr>
            <w:tcW w:type="dxa" w:w="1928"/>
          </w:tcPr>
          <w:p>
            <w:r>
              <w:t>/</w:t>
            </w:r>
          </w:p>
        </w:tc>
      </w:tr>
    </w:tbl>
    <w:p>
      <w:r>
        <w:br/>
      </w:r>
    </w:p>
    <w:p>
      <w:r>
        <w:t>污染物排放</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t>污染物排放</w:t>
            </w:r>
          </w:p>
        </w:tc>
        <w:tc>
          <w:tcPr>
            <w:tcW w:type="dxa" w:w="1928"/>
            <w:shd w:fill="f5f2f0"/>
          </w:tcPr>
          <w:p>
            <w:r>
              <w:t>单位</w:t>
            </w:r>
          </w:p>
        </w:tc>
        <w:tc>
          <w:tcPr>
            <w:tcW w:type="dxa" w:w="1928"/>
            <w:shd w:fill="f5f2f0"/>
          </w:tcPr>
          <w:p>
            <w:r>
              <w:t>2021</w:t>
            </w:r>
          </w:p>
        </w:tc>
        <w:tc>
          <w:tcPr>
            <w:tcW w:type="dxa" w:w="1928"/>
            <w:shd w:fill="f5f2f0"/>
          </w:tcPr>
          <w:p>
            <w:r>
              <w:t>2022</w:t>
            </w:r>
          </w:p>
        </w:tc>
        <w:tc>
          <w:tcPr>
            <w:tcW w:type="dxa" w:w="1928"/>
            <w:shd w:fill="f5f2f0"/>
          </w:tcPr>
          <w:p>
            <w:r>
              <w:t>2023</w:t>
            </w:r>
          </w:p>
        </w:tc>
      </w:tr>
      <w:tr>
        <w:tc>
          <w:tcPr>
            <w:tcW w:type="dxa" w:w="1928"/>
          </w:tcPr>
          <w:p>
            <w:r>
              <w:t>废气排放：颗粒物(PM)</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废气排放：二氧化硫(SO2)</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废气排放：氮氧化物(NOx)</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废气排放：一氧化碳（CO)</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废气排放：VOCs</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废水排放量</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废水排放：氨氮</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废水排放：总氮</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废水排放：化学需氧量（COD）</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废水排放：生化需氧量（BOD）</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废水排放：总磷</w:t>
            </w:r>
          </w:p>
        </w:tc>
        <w:tc>
          <w:tcPr>
            <w:tcW w:type="dxa" w:w="1928"/>
          </w:tcPr>
          <w:p>
            <w:r>
              <w:t>吨</w:t>
            </w:r>
          </w:p>
        </w:tc>
        <w:tc>
          <w:tcPr>
            <w:tcW w:type="dxa" w:w="1928"/>
          </w:tcPr>
          <w:p>
            <w:r>
              <w:t>/</w:t>
            </w:r>
          </w:p>
        </w:tc>
        <w:tc>
          <w:tcPr>
            <w:tcW w:type="dxa" w:w="1928"/>
          </w:tcPr>
          <w:p>
            <w:r>
              <w:t>/</w:t>
            </w:r>
          </w:p>
        </w:tc>
        <w:tc>
          <w:tcPr>
            <w:tcW w:type="dxa" w:w="1928"/>
          </w:tcPr>
          <w:p>
            <w:r>
              <w:t>/</w:t>
            </w:r>
          </w:p>
        </w:tc>
      </w:tr>
    </w:tbl>
    <w:p>
      <w:r>
        <w:br/>
      </w:r>
    </w:p>
    <w:p>
      <w:r>
        <w:t>废弃物处理</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t>废弃物处理</w:t>
            </w:r>
          </w:p>
        </w:tc>
        <w:tc>
          <w:tcPr>
            <w:tcW w:type="dxa" w:w="1928"/>
            <w:shd w:fill="f5f2f0"/>
          </w:tcPr>
          <w:p>
            <w:r>
              <w:t>单位</w:t>
            </w:r>
          </w:p>
        </w:tc>
        <w:tc>
          <w:tcPr>
            <w:tcW w:type="dxa" w:w="1928"/>
            <w:shd w:fill="f5f2f0"/>
          </w:tcPr>
          <w:p>
            <w:r>
              <w:t>2021</w:t>
            </w:r>
          </w:p>
        </w:tc>
        <w:tc>
          <w:tcPr>
            <w:tcW w:type="dxa" w:w="1928"/>
            <w:shd w:fill="f5f2f0"/>
          </w:tcPr>
          <w:p>
            <w:r>
              <w:t>2022</w:t>
            </w:r>
          </w:p>
        </w:tc>
        <w:tc>
          <w:tcPr>
            <w:tcW w:type="dxa" w:w="1928"/>
            <w:shd w:fill="f5f2f0"/>
          </w:tcPr>
          <w:p>
            <w:r>
              <w:t>2023</w:t>
            </w:r>
          </w:p>
        </w:tc>
      </w:tr>
      <w:tr>
        <w:tc>
          <w:tcPr>
            <w:tcW w:type="dxa" w:w="1928"/>
          </w:tcPr>
          <w:p>
            <w:r>
              <w:t>一般固废产生量</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危险废物产生量</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危险废物处理量</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一般固废回收量</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单位营收危险废物产生量</w:t>
            </w:r>
          </w:p>
        </w:tc>
        <w:tc>
          <w:tcPr>
            <w:tcW w:type="dxa" w:w="1928"/>
          </w:tcPr>
          <w:p>
            <w:r>
              <w:t>吨/万元</w:t>
            </w:r>
          </w:p>
        </w:tc>
        <w:tc>
          <w:tcPr>
            <w:tcW w:type="dxa" w:w="1928"/>
          </w:tcPr>
          <w:p>
            <w:r>
              <w:t>/</w:t>
            </w:r>
          </w:p>
        </w:tc>
        <w:tc>
          <w:tcPr>
            <w:tcW w:type="dxa" w:w="1928"/>
          </w:tcPr>
          <w:p>
            <w:r>
              <w:t>/</w:t>
            </w:r>
          </w:p>
        </w:tc>
        <w:tc>
          <w:tcPr>
            <w:tcW w:type="dxa" w:w="1928"/>
          </w:tcPr>
          <w:p>
            <w:r>
              <w:t>/</w:t>
            </w:r>
          </w:p>
        </w:tc>
      </w:tr>
      <w:tr>
        <w:tc>
          <w:tcPr>
            <w:tcW w:type="dxa" w:w="1928"/>
          </w:tcPr>
          <w:p>
            <w:r>
              <w:t>单位营收一般固废产生量</w:t>
            </w:r>
          </w:p>
        </w:tc>
        <w:tc>
          <w:tcPr>
            <w:tcW w:type="dxa" w:w="1928"/>
          </w:tcPr>
          <w:p>
            <w:r>
              <w:t>吨/万元</w:t>
            </w:r>
          </w:p>
        </w:tc>
        <w:tc>
          <w:tcPr>
            <w:tcW w:type="dxa" w:w="1928"/>
          </w:tcPr>
          <w:p>
            <w:r>
              <w:t>/</w:t>
            </w:r>
          </w:p>
        </w:tc>
        <w:tc>
          <w:tcPr>
            <w:tcW w:type="dxa" w:w="1928"/>
          </w:tcPr>
          <w:p>
            <w:r>
              <w:t>/</w:t>
            </w:r>
          </w:p>
        </w:tc>
        <w:tc>
          <w:tcPr>
            <w:tcW w:type="dxa" w:w="1928"/>
          </w:tcPr>
          <w:p>
            <w:r>
              <w:t>/</w:t>
            </w:r>
          </w:p>
        </w:tc>
      </w:tr>
    </w:tbl>
    <w:p>
      <w:r>
        <w:br/>
      </w:r>
    </w:p>
    <w:p>
      <w:r>
        <w:t>环境合规管理</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t>环境合规管理</w:t>
            </w:r>
          </w:p>
        </w:tc>
        <w:tc>
          <w:tcPr>
            <w:tcW w:type="dxa" w:w="1928"/>
            <w:shd w:fill="f5f2f0"/>
          </w:tcPr>
          <w:p>
            <w:r>
              <w:t>单位</w:t>
            </w:r>
          </w:p>
        </w:tc>
        <w:tc>
          <w:tcPr>
            <w:tcW w:type="dxa" w:w="1928"/>
            <w:shd w:fill="f5f2f0"/>
          </w:tcPr>
          <w:p>
            <w:r>
              <w:t>2021</w:t>
            </w:r>
          </w:p>
        </w:tc>
        <w:tc>
          <w:tcPr>
            <w:tcW w:type="dxa" w:w="1928"/>
            <w:shd w:fill="f5f2f0"/>
          </w:tcPr>
          <w:p>
            <w:r>
              <w:t>2022</w:t>
            </w:r>
          </w:p>
        </w:tc>
        <w:tc>
          <w:tcPr>
            <w:tcW w:type="dxa" w:w="1928"/>
            <w:shd w:fill="f5f2f0"/>
          </w:tcPr>
          <w:p>
            <w:r>
              <w:t>2023</w:t>
            </w:r>
          </w:p>
        </w:tc>
      </w:tr>
      <w:tr>
        <w:tc>
          <w:tcPr>
            <w:tcW w:type="dxa" w:w="1928"/>
          </w:tcPr>
          <w:p>
            <w:r>
              <w:t>全年污染事故发生数</w:t>
            </w:r>
          </w:p>
        </w:tc>
        <w:tc>
          <w:tcPr>
            <w:tcW w:type="dxa" w:w="1928"/>
          </w:tcPr>
          <w:p>
            <w:r>
              <w:t>次</w:t>
            </w:r>
          </w:p>
        </w:tc>
        <w:tc>
          <w:tcPr>
            <w:tcW w:type="dxa" w:w="1928"/>
          </w:tcPr>
          <w:p>
            <w:r>
              <w:t>/</w:t>
            </w:r>
          </w:p>
        </w:tc>
        <w:tc>
          <w:tcPr>
            <w:tcW w:type="dxa" w:w="1928"/>
          </w:tcPr>
          <w:p>
            <w:r>
              <w:t>/</w:t>
            </w:r>
          </w:p>
        </w:tc>
        <w:tc>
          <w:tcPr>
            <w:tcW w:type="dxa" w:w="1928"/>
          </w:tcPr>
          <w:p>
            <w:r>
              <w:t>/</w:t>
            </w:r>
          </w:p>
        </w:tc>
      </w:tr>
      <w:tr>
        <w:tc>
          <w:tcPr>
            <w:tcW w:type="dxa" w:w="1928"/>
          </w:tcPr>
          <w:p>
            <w:r>
              <w:t>违反环境或生态相关法律法规的次数</w:t>
            </w:r>
          </w:p>
        </w:tc>
        <w:tc>
          <w:tcPr>
            <w:tcW w:type="dxa" w:w="1928"/>
          </w:tcPr>
          <w:p>
            <w:r>
              <w:t>次</w:t>
            </w:r>
          </w:p>
        </w:tc>
        <w:tc>
          <w:tcPr>
            <w:tcW w:type="dxa" w:w="1928"/>
          </w:tcPr>
          <w:p>
            <w:r>
              <w:t>/</w:t>
            </w:r>
          </w:p>
        </w:tc>
        <w:tc>
          <w:tcPr>
            <w:tcW w:type="dxa" w:w="1928"/>
          </w:tcPr>
          <w:p>
            <w:r>
              <w:t>/</w:t>
            </w:r>
          </w:p>
        </w:tc>
        <w:tc>
          <w:tcPr>
            <w:tcW w:type="dxa" w:w="1928"/>
          </w:tcPr>
          <w:p>
            <w:r>
              <w:t>/</w:t>
            </w:r>
          </w:p>
        </w:tc>
      </w:tr>
      <w:tr>
        <w:tc>
          <w:tcPr>
            <w:tcW w:type="dxa" w:w="1928"/>
          </w:tcPr>
          <w:p>
            <w:r>
              <w:t>与环境或生态问题相关的罚款金额</w:t>
            </w:r>
          </w:p>
        </w:tc>
        <w:tc>
          <w:tcPr>
            <w:tcW w:type="dxa" w:w="1928"/>
          </w:tcPr>
          <w:p>
            <w:r>
              <w:t>万元</w:t>
            </w:r>
          </w:p>
        </w:tc>
        <w:tc>
          <w:tcPr>
            <w:tcW w:type="dxa" w:w="1928"/>
          </w:tcPr>
          <w:p>
            <w:r>
              <w:t>/</w:t>
            </w:r>
          </w:p>
        </w:tc>
        <w:tc>
          <w:tcPr>
            <w:tcW w:type="dxa" w:w="1928"/>
          </w:tcPr>
          <w:p>
            <w:r>
              <w:t>/</w:t>
            </w:r>
          </w:p>
        </w:tc>
        <w:tc>
          <w:tcPr>
            <w:tcW w:type="dxa" w:w="1928"/>
          </w:tcPr>
          <w:p>
            <w:r>
              <w:t>/</w:t>
            </w:r>
          </w:p>
        </w:tc>
      </w:tr>
    </w:tbl>
    <w:p>
      <w:r>
        <w:br/>
      </w:r>
    </w:p>
    <w:p>
      <w:r>
        <w:t>能源利用</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t>能源利用</w:t>
            </w:r>
          </w:p>
        </w:tc>
        <w:tc>
          <w:tcPr>
            <w:tcW w:type="dxa" w:w="1928"/>
            <w:shd w:fill="f5f2f0"/>
          </w:tcPr>
          <w:p>
            <w:r>
              <w:t>单位</w:t>
            </w:r>
          </w:p>
        </w:tc>
        <w:tc>
          <w:tcPr>
            <w:tcW w:type="dxa" w:w="1928"/>
            <w:shd w:fill="f5f2f0"/>
          </w:tcPr>
          <w:p>
            <w:r>
              <w:t>2021</w:t>
            </w:r>
          </w:p>
        </w:tc>
        <w:tc>
          <w:tcPr>
            <w:tcW w:type="dxa" w:w="1928"/>
            <w:shd w:fill="f5f2f0"/>
          </w:tcPr>
          <w:p>
            <w:r>
              <w:t>2022</w:t>
            </w:r>
          </w:p>
        </w:tc>
        <w:tc>
          <w:tcPr>
            <w:tcW w:type="dxa" w:w="1928"/>
            <w:shd w:fill="f5f2f0"/>
          </w:tcPr>
          <w:p>
            <w:r>
              <w:t>2023</w:t>
            </w:r>
          </w:p>
        </w:tc>
      </w:tr>
      <w:tr>
        <w:tc>
          <w:tcPr>
            <w:tcW w:type="dxa" w:w="1928"/>
          </w:tcPr>
          <w:p>
            <w:r>
              <w:t>能源消耗：标煤</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能源消耗：天然气</w:t>
            </w:r>
          </w:p>
        </w:tc>
        <w:tc>
          <w:tcPr>
            <w:tcW w:type="dxa" w:w="1928"/>
          </w:tcPr>
          <w:p>
            <w:r>
              <w:t>立方米</w:t>
            </w:r>
          </w:p>
        </w:tc>
        <w:tc>
          <w:tcPr>
            <w:tcW w:type="dxa" w:w="1928"/>
          </w:tcPr>
          <w:p>
            <w:r>
              <w:t>/</w:t>
            </w:r>
          </w:p>
        </w:tc>
        <w:tc>
          <w:tcPr>
            <w:tcW w:type="dxa" w:w="1928"/>
          </w:tcPr>
          <w:p>
            <w:r>
              <w:t>/</w:t>
            </w:r>
          </w:p>
        </w:tc>
        <w:tc>
          <w:tcPr>
            <w:tcW w:type="dxa" w:w="1928"/>
          </w:tcPr>
          <w:p>
            <w:r>
              <w:t>/</w:t>
            </w:r>
          </w:p>
        </w:tc>
      </w:tr>
      <w:tr>
        <w:tc>
          <w:tcPr>
            <w:tcW w:type="dxa" w:w="1928"/>
          </w:tcPr>
          <w:p>
            <w:r>
              <w:t>能源消耗：汽油</w:t>
            </w:r>
          </w:p>
        </w:tc>
        <w:tc>
          <w:tcPr>
            <w:tcW w:type="dxa" w:w="1928"/>
          </w:tcPr>
          <w:p>
            <w:r>
              <w:t>千焦</w:t>
            </w:r>
          </w:p>
        </w:tc>
        <w:tc>
          <w:tcPr>
            <w:tcW w:type="dxa" w:w="1928"/>
          </w:tcPr>
          <w:p>
            <w:r>
              <w:t>/</w:t>
            </w:r>
          </w:p>
        </w:tc>
        <w:tc>
          <w:tcPr>
            <w:tcW w:type="dxa" w:w="1928"/>
          </w:tcPr>
          <w:p>
            <w:r>
              <w:t>/</w:t>
            </w:r>
          </w:p>
        </w:tc>
        <w:tc>
          <w:tcPr>
            <w:tcW w:type="dxa" w:w="1928"/>
          </w:tcPr>
          <w:p>
            <w:r>
              <w:t>/</w:t>
            </w:r>
          </w:p>
        </w:tc>
      </w:tr>
      <w:tr>
        <w:tc>
          <w:tcPr>
            <w:tcW w:type="dxa" w:w="1928"/>
          </w:tcPr>
          <w:p>
            <w:r>
              <w:t>能源消耗：柴油</w:t>
            </w:r>
          </w:p>
        </w:tc>
        <w:tc>
          <w:tcPr>
            <w:tcW w:type="dxa" w:w="1928"/>
          </w:tcPr>
          <w:p>
            <w:r>
              <w:t>千焦</w:t>
            </w:r>
          </w:p>
        </w:tc>
        <w:tc>
          <w:tcPr>
            <w:tcW w:type="dxa" w:w="1928"/>
          </w:tcPr>
          <w:p>
            <w:r>
              <w:t>/</w:t>
            </w:r>
          </w:p>
        </w:tc>
        <w:tc>
          <w:tcPr>
            <w:tcW w:type="dxa" w:w="1928"/>
          </w:tcPr>
          <w:p>
            <w:r>
              <w:t>/</w:t>
            </w:r>
          </w:p>
        </w:tc>
        <w:tc>
          <w:tcPr>
            <w:tcW w:type="dxa" w:w="1928"/>
          </w:tcPr>
          <w:p>
            <w:r>
              <w:t>/</w:t>
            </w:r>
          </w:p>
        </w:tc>
      </w:tr>
      <w:tr>
        <w:tc>
          <w:tcPr>
            <w:tcW w:type="dxa" w:w="1928"/>
          </w:tcPr>
          <w:p>
            <w:r>
              <w:t>能源消耗：电力</w:t>
            </w:r>
          </w:p>
        </w:tc>
        <w:tc>
          <w:tcPr>
            <w:tcW w:type="dxa" w:w="1928"/>
          </w:tcPr>
          <w:p>
            <w:r>
              <w:t>兆瓦时</w:t>
            </w:r>
          </w:p>
        </w:tc>
        <w:tc>
          <w:tcPr>
            <w:tcW w:type="dxa" w:w="1928"/>
          </w:tcPr>
          <w:p>
            <w:r>
              <w:t>/</w:t>
            </w:r>
          </w:p>
        </w:tc>
        <w:tc>
          <w:tcPr>
            <w:tcW w:type="dxa" w:w="1928"/>
          </w:tcPr>
          <w:p>
            <w:r>
              <w:t>/</w:t>
            </w:r>
          </w:p>
        </w:tc>
        <w:tc>
          <w:tcPr>
            <w:tcW w:type="dxa" w:w="1928"/>
          </w:tcPr>
          <w:p>
            <w:r>
              <w:t>/</w:t>
            </w:r>
          </w:p>
        </w:tc>
      </w:tr>
      <w:tr>
        <w:tc>
          <w:tcPr>
            <w:tcW w:type="dxa" w:w="1928"/>
          </w:tcPr>
          <w:p>
            <w:r>
              <w:t>自发电量</w:t>
            </w:r>
          </w:p>
        </w:tc>
        <w:tc>
          <w:tcPr>
            <w:tcW w:type="dxa" w:w="1928"/>
          </w:tcPr>
          <w:p>
            <w:r>
              <w:t>兆瓦时</w:t>
            </w:r>
          </w:p>
        </w:tc>
        <w:tc>
          <w:tcPr>
            <w:tcW w:type="dxa" w:w="1928"/>
          </w:tcPr>
          <w:p>
            <w:r>
              <w:t>/</w:t>
            </w:r>
          </w:p>
        </w:tc>
        <w:tc>
          <w:tcPr>
            <w:tcW w:type="dxa" w:w="1928"/>
          </w:tcPr>
          <w:p>
            <w:r>
              <w:t>/</w:t>
            </w:r>
          </w:p>
        </w:tc>
        <w:tc>
          <w:tcPr>
            <w:tcW w:type="dxa" w:w="1928"/>
          </w:tcPr>
          <w:p>
            <w:r>
              <w:t>/</w:t>
            </w:r>
          </w:p>
        </w:tc>
      </w:tr>
      <w:tr>
        <w:tc>
          <w:tcPr>
            <w:tcW w:type="dxa" w:w="1928"/>
          </w:tcPr>
          <w:p>
            <w:r>
              <w:t>清洁能源使用量</w:t>
            </w:r>
          </w:p>
        </w:tc>
        <w:tc>
          <w:tcPr>
            <w:tcW w:type="dxa" w:w="1928"/>
          </w:tcPr>
          <w:p>
            <w:r>
              <w:t>千焦</w:t>
            </w:r>
          </w:p>
        </w:tc>
        <w:tc>
          <w:tcPr>
            <w:tcW w:type="dxa" w:w="1928"/>
          </w:tcPr>
          <w:p>
            <w:r>
              <w:t>/</w:t>
            </w:r>
          </w:p>
        </w:tc>
        <w:tc>
          <w:tcPr>
            <w:tcW w:type="dxa" w:w="1928"/>
          </w:tcPr>
          <w:p>
            <w:r>
              <w:t>/</w:t>
            </w:r>
          </w:p>
        </w:tc>
        <w:tc>
          <w:tcPr>
            <w:tcW w:type="dxa" w:w="1928"/>
          </w:tcPr>
          <w:p>
            <w:r>
              <w:t>/</w:t>
            </w:r>
          </w:p>
        </w:tc>
      </w:tr>
    </w:tbl>
    <w:p>
      <w:r>
        <w:br/>
      </w:r>
    </w:p>
    <w:p>
      <w:r>
        <w:t>水资源利用</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t>水资源利用</w:t>
            </w:r>
          </w:p>
        </w:tc>
        <w:tc>
          <w:tcPr>
            <w:tcW w:type="dxa" w:w="1928"/>
            <w:shd w:fill="f5f2f0"/>
          </w:tcPr>
          <w:p>
            <w:r>
              <w:t>单位</w:t>
            </w:r>
          </w:p>
        </w:tc>
        <w:tc>
          <w:tcPr>
            <w:tcW w:type="dxa" w:w="1928"/>
            <w:shd w:fill="f5f2f0"/>
          </w:tcPr>
          <w:p>
            <w:r>
              <w:t>2021</w:t>
            </w:r>
          </w:p>
        </w:tc>
        <w:tc>
          <w:tcPr>
            <w:tcW w:type="dxa" w:w="1928"/>
            <w:shd w:fill="f5f2f0"/>
          </w:tcPr>
          <w:p>
            <w:r>
              <w:t>2022</w:t>
            </w:r>
          </w:p>
        </w:tc>
        <w:tc>
          <w:tcPr>
            <w:tcW w:type="dxa" w:w="1928"/>
            <w:shd w:fill="f5f2f0"/>
          </w:tcPr>
          <w:p>
            <w:r>
              <w:t>2023</w:t>
            </w:r>
          </w:p>
        </w:tc>
      </w:tr>
      <w:tr>
        <w:tc>
          <w:tcPr>
            <w:tcW w:type="dxa" w:w="1928"/>
          </w:tcPr>
          <w:p>
            <w:r>
              <w:t>新水消耗量</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新水消耗量-市政自来水</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新水消耗量-地表水</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新水消耗量-地下水</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中水回用量</w:t>
            </w:r>
          </w:p>
        </w:tc>
        <w:tc>
          <w:tcPr>
            <w:tcW w:type="dxa" w:w="1928"/>
          </w:tcPr>
          <w:p>
            <w:r>
              <w:t>吨</w:t>
            </w:r>
          </w:p>
        </w:tc>
        <w:tc>
          <w:tcPr>
            <w:tcW w:type="dxa" w:w="1928"/>
          </w:tcPr>
          <w:p>
            <w:r>
              <w:t>/</w:t>
            </w:r>
          </w:p>
        </w:tc>
        <w:tc>
          <w:tcPr>
            <w:tcW w:type="dxa" w:w="1928"/>
          </w:tcPr>
          <w:p>
            <w:r>
              <w:t>/</w:t>
            </w:r>
          </w:p>
        </w:tc>
        <w:tc>
          <w:tcPr>
            <w:tcW w:type="dxa" w:w="1928"/>
          </w:tcPr>
          <w:p>
            <w:r>
              <w:t>/</w:t>
            </w:r>
          </w:p>
        </w:tc>
      </w:tr>
      <w:tr>
        <w:tc>
          <w:tcPr>
            <w:tcW w:type="dxa" w:w="1928"/>
          </w:tcPr>
          <w:p>
            <w:r>
              <w:t>中水回用率</w:t>
            </w:r>
          </w:p>
        </w:tc>
        <w:tc>
          <w:tcPr>
            <w:tcW w:type="dxa" w:w="1928"/>
          </w:tcPr>
          <w:p>
            <w:r>
              <w:t>%</w:t>
            </w:r>
          </w:p>
        </w:tc>
        <w:tc>
          <w:tcPr>
            <w:tcW w:type="dxa" w:w="1928"/>
          </w:tcPr>
          <w:p>
            <w:r>
              <w:t>/</w:t>
            </w:r>
          </w:p>
        </w:tc>
        <w:tc>
          <w:tcPr>
            <w:tcW w:type="dxa" w:w="1928"/>
          </w:tcPr>
          <w:p>
            <w:r>
              <w:t>/</w:t>
            </w:r>
          </w:p>
        </w:tc>
        <w:tc>
          <w:tcPr>
            <w:tcW w:type="dxa" w:w="1928"/>
          </w:tcPr>
          <w:p>
            <w:r>
              <w:t>/</w:t>
            </w:r>
          </w:p>
        </w:tc>
      </w:tr>
      <w:tr>
        <w:tc>
          <w:tcPr>
            <w:tcW w:type="dxa" w:w="1928"/>
          </w:tcPr>
          <w:p>
            <w:r>
              <w:t>处于高水风险地区运营点数量</w:t>
            </w:r>
          </w:p>
        </w:tc>
        <w:tc>
          <w:tcPr>
            <w:tcW w:type="dxa" w:w="1928"/>
          </w:tcPr>
          <w:p>
            <w:r>
              <w:t>家</w:t>
            </w:r>
          </w:p>
        </w:tc>
        <w:tc>
          <w:tcPr>
            <w:tcW w:type="dxa" w:w="1928"/>
          </w:tcPr>
          <w:p>
            <w:r>
              <w:t>/</w:t>
            </w:r>
          </w:p>
        </w:tc>
        <w:tc>
          <w:tcPr>
            <w:tcW w:type="dxa" w:w="1928"/>
          </w:tcPr>
          <w:p>
            <w:r>
              <w:t>/</w:t>
            </w:r>
          </w:p>
        </w:tc>
        <w:tc>
          <w:tcPr>
            <w:tcW w:type="dxa" w:w="1928"/>
          </w:tcPr>
          <w:p>
            <w:r>
              <w:t>/</w:t>
            </w:r>
          </w:p>
        </w:tc>
      </w:tr>
      <w:tr>
        <w:tc>
          <w:tcPr>
            <w:tcW w:type="dxa" w:w="1928"/>
          </w:tcPr>
          <w:p>
            <w:r>
              <w:t>处于中水风险地区运营点数量</w:t>
            </w:r>
          </w:p>
        </w:tc>
        <w:tc>
          <w:tcPr>
            <w:tcW w:type="dxa" w:w="1928"/>
          </w:tcPr>
          <w:p>
            <w:r>
              <w:t>家</w:t>
            </w:r>
          </w:p>
        </w:tc>
        <w:tc>
          <w:tcPr>
            <w:tcW w:type="dxa" w:w="1928"/>
          </w:tcPr>
          <w:p>
            <w:r>
              <w:t>/</w:t>
            </w:r>
          </w:p>
        </w:tc>
        <w:tc>
          <w:tcPr>
            <w:tcW w:type="dxa" w:w="1928"/>
          </w:tcPr>
          <w:p>
            <w:r>
              <w:t>/</w:t>
            </w:r>
          </w:p>
        </w:tc>
        <w:tc>
          <w:tcPr>
            <w:tcW w:type="dxa" w:w="1928"/>
          </w:tcPr>
          <w:p>
            <w:r>
              <w:t>/</w:t>
            </w:r>
          </w:p>
        </w:tc>
      </w:tr>
    </w:tbl>
    <w:p>
      <w:r>
        <w:br/>
      </w:r>
    </w:p>
    <w:p>
      <w:r>
        <w:t>社会贡献</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t>社会贡献</w:t>
            </w:r>
          </w:p>
        </w:tc>
        <w:tc>
          <w:tcPr>
            <w:tcW w:type="dxa" w:w="1928"/>
            <w:shd w:fill="f5f2f0"/>
          </w:tcPr>
          <w:p>
            <w:r>
              <w:t>单位</w:t>
            </w:r>
          </w:p>
        </w:tc>
        <w:tc>
          <w:tcPr>
            <w:tcW w:type="dxa" w:w="1928"/>
            <w:shd w:fill="f5f2f0"/>
          </w:tcPr>
          <w:p>
            <w:r>
              <w:t>2021</w:t>
            </w:r>
          </w:p>
        </w:tc>
        <w:tc>
          <w:tcPr>
            <w:tcW w:type="dxa" w:w="1928"/>
            <w:shd w:fill="f5f2f0"/>
          </w:tcPr>
          <w:p>
            <w:r>
              <w:t>2022</w:t>
            </w:r>
          </w:p>
        </w:tc>
        <w:tc>
          <w:tcPr>
            <w:tcW w:type="dxa" w:w="1928"/>
            <w:shd w:fill="f5f2f0"/>
          </w:tcPr>
          <w:p>
            <w:r>
              <w:t>2023</w:t>
            </w:r>
          </w:p>
        </w:tc>
      </w:tr>
      <w:tr>
        <w:tc>
          <w:tcPr>
            <w:tcW w:type="dxa" w:w="1928"/>
          </w:tcPr>
          <w:p>
            <w:r>
              <w:t>捐赠情况</w:t>
            </w:r>
          </w:p>
        </w:tc>
        <w:tc>
          <w:tcPr>
            <w:tcW w:type="dxa" w:w="1928"/>
          </w:tcPr>
          <w:p>
            <w:r>
              <w:t>万元</w:t>
            </w:r>
          </w:p>
        </w:tc>
        <w:tc>
          <w:tcPr>
            <w:tcW w:type="dxa" w:w="1928"/>
          </w:tcPr>
          <w:p>
            <w:r>
              <w:t>/</w:t>
            </w:r>
          </w:p>
        </w:tc>
        <w:tc>
          <w:tcPr>
            <w:tcW w:type="dxa" w:w="1928"/>
          </w:tcPr>
          <w:p>
            <w:r>
              <w:t>/</w:t>
            </w:r>
          </w:p>
        </w:tc>
        <w:tc>
          <w:tcPr>
            <w:tcW w:type="dxa" w:w="1928"/>
          </w:tcPr>
          <w:p>
            <w:r>
              <w:t>/</w:t>
            </w:r>
          </w:p>
        </w:tc>
      </w:tr>
      <w:tr>
        <w:tc>
          <w:tcPr>
            <w:tcW w:type="dxa" w:w="1928"/>
          </w:tcPr>
          <w:p>
            <w:r>
              <w:t>志愿活动时长</w:t>
            </w:r>
          </w:p>
        </w:tc>
        <w:tc>
          <w:tcPr>
            <w:tcW w:type="dxa" w:w="1928"/>
          </w:tcPr>
          <w:p>
            <w:r>
              <w:t>小时</w:t>
            </w:r>
          </w:p>
        </w:tc>
        <w:tc>
          <w:tcPr>
            <w:tcW w:type="dxa" w:w="1928"/>
          </w:tcPr>
          <w:p>
            <w:r>
              <w:t>/</w:t>
            </w:r>
          </w:p>
        </w:tc>
        <w:tc>
          <w:tcPr>
            <w:tcW w:type="dxa" w:w="1928"/>
          </w:tcPr>
          <w:p>
            <w:r>
              <w:t>/</w:t>
            </w:r>
          </w:p>
        </w:tc>
        <w:tc>
          <w:tcPr>
            <w:tcW w:type="dxa" w:w="1928"/>
          </w:tcPr>
          <w:p>
            <w:r>
              <w:t>/</w:t>
            </w:r>
          </w:p>
        </w:tc>
      </w:tr>
      <w:tr>
        <w:tc>
          <w:tcPr>
            <w:tcW w:type="dxa" w:w="1928"/>
          </w:tcPr>
          <w:p>
            <w:r>
              <w:t>从当地社区雇佣高管的比例</w:t>
            </w:r>
          </w:p>
        </w:tc>
        <w:tc>
          <w:tcPr>
            <w:tcW w:type="dxa" w:w="1928"/>
          </w:tcPr>
          <w:p>
            <w:r>
              <w:t>%</w:t>
            </w:r>
          </w:p>
        </w:tc>
        <w:tc>
          <w:tcPr>
            <w:tcW w:type="dxa" w:w="1928"/>
          </w:tcPr>
          <w:p>
            <w:r>
              <w:t>/</w:t>
            </w:r>
          </w:p>
        </w:tc>
        <w:tc>
          <w:tcPr>
            <w:tcW w:type="dxa" w:w="1928"/>
          </w:tcPr>
          <w:p>
            <w:r>
              <w:t>/</w:t>
            </w:r>
          </w:p>
        </w:tc>
        <w:tc>
          <w:tcPr>
            <w:tcW w:type="dxa" w:w="1928"/>
          </w:tcPr>
          <w:p>
            <w:r>
              <w:t>/</w:t>
            </w:r>
          </w:p>
        </w:tc>
      </w:tr>
      <w:tr>
        <w:tc>
          <w:tcPr>
            <w:tcW w:type="dxa" w:w="1928"/>
          </w:tcPr>
          <w:p>
            <w:r>
              <w:t>向当地供应商采购的支出比例</w:t>
            </w:r>
          </w:p>
        </w:tc>
        <w:tc>
          <w:tcPr>
            <w:tcW w:type="dxa" w:w="1928"/>
          </w:tcPr>
          <w:p>
            <w:r>
              <w:t>%</w:t>
            </w:r>
          </w:p>
        </w:tc>
        <w:tc>
          <w:tcPr>
            <w:tcW w:type="dxa" w:w="1928"/>
          </w:tcPr>
          <w:p>
            <w:r>
              <w:t>/</w:t>
            </w:r>
          </w:p>
        </w:tc>
        <w:tc>
          <w:tcPr>
            <w:tcW w:type="dxa" w:w="1928"/>
          </w:tcPr>
          <w:p>
            <w:r>
              <w:t>/</w:t>
            </w:r>
          </w:p>
        </w:tc>
        <w:tc>
          <w:tcPr>
            <w:tcW w:type="dxa" w:w="1928"/>
          </w:tcPr>
          <w:p>
            <w:r>
              <w:t>/</w:t>
            </w:r>
          </w:p>
        </w:tc>
      </w:tr>
      <w:tr>
        <w:tc>
          <w:tcPr>
            <w:tcW w:type="dxa" w:w="1928"/>
          </w:tcPr>
          <w:p>
            <w:r>
              <w:t>对当地社区有实际或潜在重大负面影响的运营点</w:t>
            </w:r>
          </w:p>
        </w:tc>
        <w:tc>
          <w:tcPr>
            <w:tcW w:type="dxa" w:w="1928"/>
          </w:tcPr>
          <w:p>
            <w:r>
              <w:t>家</w:t>
            </w:r>
          </w:p>
        </w:tc>
        <w:tc>
          <w:tcPr>
            <w:tcW w:type="dxa" w:w="1928"/>
          </w:tcPr>
          <w:p>
            <w:r>
              <w:t>/</w:t>
            </w:r>
          </w:p>
        </w:tc>
        <w:tc>
          <w:tcPr>
            <w:tcW w:type="dxa" w:w="1928"/>
          </w:tcPr>
          <w:p>
            <w:r>
              <w:t>/</w:t>
            </w:r>
          </w:p>
        </w:tc>
        <w:tc>
          <w:tcPr>
            <w:tcW w:type="dxa" w:w="1928"/>
          </w:tcPr>
          <w:p>
            <w:r>
              <w:t>/</w:t>
            </w:r>
          </w:p>
        </w:tc>
      </w:tr>
      <w:tr>
        <w:tc>
          <w:tcPr>
            <w:tcW w:type="dxa" w:w="1928"/>
          </w:tcPr>
          <w:p>
            <w:r>
              <w:t>人均志愿活动时长</w:t>
            </w:r>
          </w:p>
        </w:tc>
        <w:tc>
          <w:tcPr>
            <w:tcW w:type="dxa" w:w="1928"/>
          </w:tcPr>
          <w:p>
            <w:r>
              <w:t>小时</w:t>
            </w:r>
          </w:p>
        </w:tc>
        <w:tc>
          <w:tcPr>
            <w:tcW w:type="dxa" w:w="1928"/>
          </w:tcPr>
          <w:p>
            <w:r>
              <w:t>/</w:t>
            </w:r>
          </w:p>
        </w:tc>
        <w:tc>
          <w:tcPr>
            <w:tcW w:type="dxa" w:w="1928"/>
          </w:tcPr>
          <w:p>
            <w:r>
              <w:t>/</w:t>
            </w:r>
          </w:p>
        </w:tc>
        <w:tc>
          <w:tcPr>
            <w:tcW w:type="dxa" w:w="1928"/>
          </w:tcPr>
          <w:p>
            <w:r>
              <w:t>/</w:t>
            </w:r>
          </w:p>
        </w:tc>
      </w:tr>
    </w:tbl>
    <w:p>
      <w:r>
        <w:br/>
      </w:r>
    </w:p>
    <w:p>
      <w:r>
        <w:t>创新驱动</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t>创新驱动</w:t>
            </w:r>
          </w:p>
        </w:tc>
        <w:tc>
          <w:tcPr>
            <w:tcW w:type="dxa" w:w="1928"/>
            <w:shd w:fill="f5f2f0"/>
          </w:tcPr>
          <w:p>
            <w:r>
              <w:t>单位</w:t>
            </w:r>
          </w:p>
        </w:tc>
        <w:tc>
          <w:tcPr>
            <w:tcW w:type="dxa" w:w="1928"/>
            <w:shd w:fill="f5f2f0"/>
          </w:tcPr>
          <w:p>
            <w:r>
              <w:t>2021</w:t>
            </w:r>
          </w:p>
        </w:tc>
        <w:tc>
          <w:tcPr>
            <w:tcW w:type="dxa" w:w="1928"/>
            <w:shd w:fill="f5f2f0"/>
          </w:tcPr>
          <w:p>
            <w:r>
              <w:t>2022</w:t>
            </w:r>
          </w:p>
        </w:tc>
        <w:tc>
          <w:tcPr>
            <w:tcW w:type="dxa" w:w="1928"/>
            <w:shd w:fill="f5f2f0"/>
          </w:tcPr>
          <w:p>
            <w:r>
              <w:t>2023</w:t>
            </w:r>
          </w:p>
        </w:tc>
      </w:tr>
      <w:tr>
        <w:tc>
          <w:tcPr>
            <w:tcW w:type="dxa" w:w="1928"/>
          </w:tcPr>
          <w:p>
            <w:r>
              <w:t>研发投入</w:t>
            </w:r>
          </w:p>
        </w:tc>
        <w:tc>
          <w:tcPr>
            <w:tcW w:type="dxa" w:w="1928"/>
          </w:tcPr>
          <w:p>
            <w:r>
              <w:t>万元</w:t>
            </w:r>
          </w:p>
        </w:tc>
        <w:tc>
          <w:tcPr>
            <w:tcW w:type="dxa" w:w="1928"/>
          </w:tcPr>
          <w:p>
            <w:r>
              <w:t>/</w:t>
            </w:r>
          </w:p>
        </w:tc>
        <w:tc>
          <w:tcPr>
            <w:tcW w:type="dxa" w:w="1928"/>
          </w:tcPr>
          <w:p>
            <w:r>
              <w:t>/</w:t>
            </w:r>
          </w:p>
        </w:tc>
        <w:tc>
          <w:tcPr>
            <w:tcW w:type="dxa" w:w="1928"/>
          </w:tcPr>
          <w:p>
            <w:r>
              <w:t>/</w:t>
            </w:r>
          </w:p>
        </w:tc>
      </w:tr>
      <w:tr>
        <w:tc>
          <w:tcPr>
            <w:tcW w:type="dxa" w:w="1928"/>
          </w:tcPr>
          <w:p>
            <w:r>
              <w:t>研发投入占营收比</w:t>
            </w:r>
          </w:p>
        </w:tc>
        <w:tc>
          <w:tcPr>
            <w:tcW w:type="dxa" w:w="1928"/>
          </w:tcPr>
          <w:p>
            <w:r>
              <w:t>%</w:t>
            </w:r>
          </w:p>
        </w:tc>
        <w:tc>
          <w:tcPr>
            <w:tcW w:type="dxa" w:w="1928"/>
          </w:tcPr>
          <w:p>
            <w:r>
              <w:t>/</w:t>
            </w:r>
          </w:p>
        </w:tc>
        <w:tc>
          <w:tcPr>
            <w:tcW w:type="dxa" w:w="1928"/>
          </w:tcPr>
          <w:p>
            <w:r>
              <w:t>/</w:t>
            </w:r>
          </w:p>
        </w:tc>
        <w:tc>
          <w:tcPr>
            <w:tcW w:type="dxa" w:w="1928"/>
          </w:tcPr>
          <w:p>
            <w:r>
              <w:t>/</w:t>
            </w:r>
          </w:p>
        </w:tc>
      </w:tr>
      <w:tr>
        <w:tc>
          <w:tcPr>
            <w:tcW w:type="dxa" w:w="1928"/>
          </w:tcPr>
          <w:p>
            <w:r>
              <w:t>获得专利数量</w:t>
            </w:r>
          </w:p>
        </w:tc>
        <w:tc>
          <w:tcPr>
            <w:tcW w:type="dxa" w:w="1928"/>
          </w:tcPr>
          <w:p>
            <w:r>
              <w:t>个</w:t>
            </w:r>
          </w:p>
        </w:tc>
        <w:tc>
          <w:tcPr>
            <w:tcW w:type="dxa" w:w="1928"/>
          </w:tcPr>
          <w:p>
            <w:r>
              <w:t>/</w:t>
            </w:r>
          </w:p>
        </w:tc>
        <w:tc>
          <w:tcPr>
            <w:tcW w:type="dxa" w:w="1928"/>
          </w:tcPr>
          <w:p>
            <w:r>
              <w:t>/</w:t>
            </w:r>
          </w:p>
        </w:tc>
        <w:tc>
          <w:tcPr>
            <w:tcW w:type="dxa" w:w="1928"/>
          </w:tcPr>
          <w:p>
            <w:r>
              <w:t>/</w:t>
            </w:r>
          </w:p>
        </w:tc>
      </w:tr>
    </w:tbl>
    <w:p>
      <w:r>
        <w:br/>
      </w:r>
    </w:p>
    <w:p>
      <w:r>
        <w:t>供应链安全</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t>供应链安全</w:t>
            </w:r>
          </w:p>
        </w:tc>
        <w:tc>
          <w:tcPr>
            <w:tcW w:type="dxa" w:w="1928"/>
            <w:shd w:fill="f5f2f0"/>
          </w:tcPr>
          <w:p>
            <w:r>
              <w:t>单位</w:t>
            </w:r>
          </w:p>
        </w:tc>
        <w:tc>
          <w:tcPr>
            <w:tcW w:type="dxa" w:w="1928"/>
            <w:shd w:fill="f5f2f0"/>
          </w:tcPr>
          <w:p>
            <w:r>
              <w:t>2021</w:t>
            </w:r>
          </w:p>
        </w:tc>
        <w:tc>
          <w:tcPr>
            <w:tcW w:type="dxa" w:w="1928"/>
            <w:shd w:fill="f5f2f0"/>
          </w:tcPr>
          <w:p>
            <w:r>
              <w:t>2022</w:t>
            </w:r>
          </w:p>
        </w:tc>
        <w:tc>
          <w:tcPr>
            <w:tcW w:type="dxa" w:w="1928"/>
            <w:shd w:fill="f5f2f0"/>
          </w:tcPr>
          <w:p>
            <w:r>
              <w:t>2023</w:t>
            </w:r>
          </w:p>
        </w:tc>
      </w:tr>
      <w:tr>
        <w:tc>
          <w:tcPr>
            <w:tcW w:type="dxa" w:w="1928"/>
          </w:tcPr>
          <w:p>
            <w:r>
              <w:t>供应商数量</w:t>
            </w:r>
          </w:p>
        </w:tc>
        <w:tc>
          <w:tcPr>
            <w:tcW w:type="dxa" w:w="1928"/>
          </w:tcPr>
          <w:p>
            <w:r>
              <w:t>家</w:t>
            </w:r>
          </w:p>
        </w:tc>
        <w:tc>
          <w:tcPr>
            <w:tcW w:type="dxa" w:w="1928"/>
          </w:tcPr>
          <w:p>
            <w:r>
              <w:t>/</w:t>
            </w:r>
          </w:p>
        </w:tc>
        <w:tc>
          <w:tcPr>
            <w:tcW w:type="dxa" w:w="1928"/>
          </w:tcPr>
          <w:p>
            <w:r>
              <w:t>/</w:t>
            </w:r>
          </w:p>
        </w:tc>
        <w:tc>
          <w:tcPr>
            <w:tcW w:type="dxa" w:w="1928"/>
          </w:tcPr>
          <w:p>
            <w:r>
              <w:t>/</w:t>
            </w:r>
          </w:p>
        </w:tc>
      </w:tr>
      <w:tr>
        <w:tc>
          <w:tcPr>
            <w:tcW w:type="dxa" w:w="1928"/>
          </w:tcPr>
          <w:p>
            <w:r>
              <w:t>经过认证的供应商数量</w:t>
            </w:r>
          </w:p>
        </w:tc>
        <w:tc>
          <w:tcPr>
            <w:tcW w:type="dxa" w:w="1928"/>
          </w:tcPr>
          <w:p>
            <w:r>
              <w:t>家</w:t>
            </w:r>
          </w:p>
        </w:tc>
        <w:tc>
          <w:tcPr>
            <w:tcW w:type="dxa" w:w="1928"/>
          </w:tcPr>
          <w:p>
            <w:r>
              <w:t>/</w:t>
            </w:r>
          </w:p>
        </w:tc>
        <w:tc>
          <w:tcPr>
            <w:tcW w:type="dxa" w:w="1928"/>
          </w:tcPr>
          <w:p>
            <w:r>
              <w:t>/</w:t>
            </w:r>
          </w:p>
        </w:tc>
        <w:tc>
          <w:tcPr>
            <w:tcW w:type="dxa" w:w="1928"/>
          </w:tcPr>
          <w:p>
            <w:r>
              <w:t>/</w:t>
            </w:r>
          </w:p>
        </w:tc>
      </w:tr>
    </w:tbl>
    <w:p>
      <w:r>
        <w:br/>
      </w:r>
    </w:p>
    <w:p>
      <w:r>
        <w:t>产品和服务安全与质量</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t>产品和服务安全与质量</w:t>
            </w:r>
          </w:p>
        </w:tc>
        <w:tc>
          <w:tcPr>
            <w:tcW w:type="dxa" w:w="1928"/>
            <w:shd w:fill="f5f2f0"/>
          </w:tcPr>
          <w:p>
            <w:r>
              <w:t>单位</w:t>
            </w:r>
          </w:p>
        </w:tc>
        <w:tc>
          <w:tcPr>
            <w:tcW w:type="dxa" w:w="1928"/>
            <w:shd w:fill="f5f2f0"/>
          </w:tcPr>
          <w:p>
            <w:r>
              <w:t>2021</w:t>
            </w:r>
          </w:p>
        </w:tc>
        <w:tc>
          <w:tcPr>
            <w:tcW w:type="dxa" w:w="1928"/>
            <w:shd w:fill="f5f2f0"/>
          </w:tcPr>
          <w:p>
            <w:r>
              <w:t>2022</w:t>
            </w:r>
          </w:p>
        </w:tc>
        <w:tc>
          <w:tcPr>
            <w:tcW w:type="dxa" w:w="1928"/>
            <w:shd w:fill="f5f2f0"/>
          </w:tcPr>
          <w:p>
            <w:r>
              <w:t>2023</w:t>
            </w:r>
          </w:p>
        </w:tc>
      </w:tr>
      <w:tr>
        <w:tc>
          <w:tcPr>
            <w:tcW w:type="dxa" w:w="1928"/>
          </w:tcPr>
          <w:p>
            <w:r>
              <w:t>产品相关纠纷数量</w:t>
            </w:r>
          </w:p>
        </w:tc>
        <w:tc>
          <w:tcPr>
            <w:tcW w:type="dxa" w:w="1928"/>
          </w:tcPr>
          <w:p>
            <w:r>
              <w:t>次</w:t>
            </w:r>
          </w:p>
        </w:tc>
        <w:tc>
          <w:tcPr>
            <w:tcW w:type="dxa" w:w="1928"/>
          </w:tcPr>
          <w:p>
            <w:r>
              <w:t>/</w:t>
            </w:r>
          </w:p>
        </w:tc>
        <w:tc>
          <w:tcPr>
            <w:tcW w:type="dxa" w:w="1928"/>
          </w:tcPr>
          <w:p>
            <w:r>
              <w:t>/</w:t>
            </w:r>
          </w:p>
        </w:tc>
        <w:tc>
          <w:tcPr>
            <w:tcW w:type="dxa" w:w="1928"/>
          </w:tcPr>
          <w:p>
            <w:r>
              <w:t>/</w:t>
            </w:r>
          </w:p>
        </w:tc>
      </w:tr>
      <w:tr>
        <w:tc>
          <w:tcPr>
            <w:tcW w:type="dxa" w:w="1928"/>
          </w:tcPr>
          <w:p>
            <w:r>
              <w:t>产品召回次数</w:t>
            </w:r>
          </w:p>
        </w:tc>
        <w:tc>
          <w:tcPr>
            <w:tcW w:type="dxa" w:w="1928"/>
          </w:tcPr>
          <w:p>
            <w:r>
              <w:t>次</w:t>
            </w:r>
          </w:p>
        </w:tc>
        <w:tc>
          <w:tcPr>
            <w:tcW w:type="dxa" w:w="1928"/>
          </w:tcPr>
          <w:p>
            <w:r>
              <w:t>/</w:t>
            </w:r>
          </w:p>
        </w:tc>
        <w:tc>
          <w:tcPr>
            <w:tcW w:type="dxa" w:w="1928"/>
          </w:tcPr>
          <w:p>
            <w:r>
              <w:t>/</w:t>
            </w:r>
          </w:p>
        </w:tc>
        <w:tc>
          <w:tcPr>
            <w:tcW w:type="dxa" w:w="1928"/>
          </w:tcPr>
          <w:p>
            <w:r>
              <w:t>/</w:t>
            </w:r>
          </w:p>
        </w:tc>
      </w:tr>
      <w:tr>
        <w:tc>
          <w:tcPr>
            <w:tcW w:type="dxa" w:w="1928"/>
          </w:tcPr>
          <w:p>
            <w:r>
              <w:t>产品合格率</w:t>
            </w:r>
          </w:p>
        </w:tc>
        <w:tc>
          <w:tcPr>
            <w:tcW w:type="dxa" w:w="1928"/>
          </w:tcPr>
          <w:p>
            <w:r>
              <w:t>%</w:t>
            </w:r>
          </w:p>
        </w:tc>
        <w:tc>
          <w:tcPr>
            <w:tcW w:type="dxa" w:w="1928"/>
          </w:tcPr>
          <w:p>
            <w:r>
              <w:t>/</w:t>
            </w:r>
          </w:p>
        </w:tc>
        <w:tc>
          <w:tcPr>
            <w:tcW w:type="dxa" w:w="1928"/>
          </w:tcPr>
          <w:p>
            <w:r>
              <w:t>/</w:t>
            </w:r>
          </w:p>
        </w:tc>
        <w:tc>
          <w:tcPr>
            <w:tcW w:type="dxa" w:w="1928"/>
          </w:tcPr>
          <w:p>
            <w:r>
              <w:t>/</w:t>
            </w:r>
          </w:p>
        </w:tc>
      </w:tr>
      <w:tr>
        <w:tc>
          <w:tcPr>
            <w:tcW w:type="dxa" w:w="1928"/>
          </w:tcPr>
          <w:p>
            <w:r>
              <w:t>客户满意度</w:t>
            </w:r>
          </w:p>
        </w:tc>
        <w:tc>
          <w:tcPr>
            <w:tcW w:type="dxa" w:w="1928"/>
          </w:tcPr>
          <w:p>
            <w:r>
              <w:t>%</w:t>
            </w:r>
          </w:p>
        </w:tc>
        <w:tc>
          <w:tcPr>
            <w:tcW w:type="dxa" w:w="1928"/>
          </w:tcPr>
          <w:p>
            <w:r>
              <w:t>/</w:t>
            </w:r>
          </w:p>
        </w:tc>
        <w:tc>
          <w:tcPr>
            <w:tcW w:type="dxa" w:w="1928"/>
          </w:tcPr>
          <w:p>
            <w:r>
              <w:t>/</w:t>
            </w:r>
          </w:p>
        </w:tc>
        <w:tc>
          <w:tcPr>
            <w:tcW w:type="dxa" w:w="1928"/>
          </w:tcPr>
          <w:p>
            <w:r>
              <w:t>/</w:t>
            </w:r>
          </w:p>
        </w:tc>
      </w:tr>
      <w:tr>
        <w:tc>
          <w:tcPr>
            <w:tcW w:type="dxa" w:w="1928"/>
          </w:tcPr>
          <w:p>
            <w:r>
              <w:t>客户投诉次数</w:t>
            </w:r>
          </w:p>
        </w:tc>
        <w:tc>
          <w:tcPr>
            <w:tcW w:type="dxa" w:w="1928"/>
          </w:tcPr>
          <w:p>
            <w:r>
              <w:t>%</w:t>
            </w:r>
          </w:p>
        </w:tc>
        <w:tc>
          <w:tcPr>
            <w:tcW w:type="dxa" w:w="1928"/>
          </w:tcPr>
          <w:p>
            <w:r>
              <w:t>/</w:t>
            </w:r>
          </w:p>
        </w:tc>
        <w:tc>
          <w:tcPr>
            <w:tcW w:type="dxa" w:w="1928"/>
          </w:tcPr>
          <w:p>
            <w:r>
              <w:t>/</w:t>
            </w:r>
          </w:p>
        </w:tc>
        <w:tc>
          <w:tcPr>
            <w:tcW w:type="dxa" w:w="1928"/>
          </w:tcPr>
          <w:p>
            <w:r>
              <w:t>/</w:t>
            </w:r>
          </w:p>
        </w:tc>
      </w:tr>
    </w:tbl>
    <w:p>
      <w:r>
        <w:br/>
      </w:r>
    </w:p>
    <w:p>
      <w:r>
        <w:t>数据安全与客户隐私保护</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t>数据安全与客户隐私保护</w:t>
            </w:r>
          </w:p>
        </w:tc>
        <w:tc>
          <w:tcPr>
            <w:tcW w:type="dxa" w:w="1928"/>
            <w:shd w:fill="f5f2f0"/>
          </w:tcPr>
          <w:p>
            <w:r>
              <w:t>单位</w:t>
            </w:r>
          </w:p>
        </w:tc>
        <w:tc>
          <w:tcPr>
            <w:tcW w:type="dxa" w:w="1928"/>
            <w:shd w:fill="f5f2f0"/>
          </w:tcPr>
          <w:p>
            <w:r>
              <w:t>2021</w:t>
            </w:r>
          </w:p>
        </w:tc>
        <w:tc>
          <w:tcPr>
            <w:tcW w:type="dxa" w:w="1928"/>
            <w:shd w:fill="f5f2f0"/>
          </w:tcPr>
          <w:p>
            <w:r>
              <w:t>2022</w:t>
            </w:r>
          </w:p>
        </w:tc>
        <w:tc>
          <w:tcPr>
            <w:tcW w:type="dxa" w:w="1928"/>
            <w:shd w:fill="f5f2f0"/>
          </w:tcPr>
          <w:p>
            <w:r>
              <w:t>2023</w:t>
            </w:r>
          </w:p>
        </w:tc>
      </w:tr>
      <w:tr>
        <w:tc>
          <w:tcPr>
            <w:tcW w:type="dxa" w:w="1928"/>
          </w:tcPr>
          <w:p>
            <w:r>
              <w:t>网络安全事件数量</w:t>
            </w:r>
          </w:p>
        </w:tc>
        <w:tc>
          <w:tcPr>
            <w:tcW w:type="dxa" w:w="1928"/>
          </w:tcPr>
          <w:p>
            <w:r>
              <w:t>次</w:t>
            </w:r>
          </w:p>
        </w:tc>
        <w:tc>
          <w:tcPr>
            <w:tcW w:type="dxa" w:w="1928"/>
          </w:tcPr>
          <w:p>
            <w:r>
              <w:t>/</w:t>
            </w:r>
          </w:p>
        </w:tc>
        <w:tc>
          <w:tcPr>
            <w:tcW w:type="dxa" w:w="1928"/>
          </w:tcPr>
          <w:p>
            <w:r>
              <w:t>/</w:t>
            </w:r>
          </w:p>
        </w:tc>
        <w:tc>
          <w:tcPr>
            <w:tcW w:type="dxa" w:w="1928"/>
          </w:tcPr>
          <w:p>
            <w:r>
              <w:t>/</w:t>
            </w:r>
          </w:p>
        </w:tc>
      </w:tr>
      <w:tr>
        <w:tc>
          <w:tcPr>
            <w:tcW w:type="dxa" w:w="1928"/>
          </w:tcPr>
          <w:p>
            <w:r>
              <w:t>隐私泄露事件数量</w:t>
            </w:r>
          </w:p>
        </w:tc>
        <w:tc>
          <w:tcPr>
            <w:tcW w:type="dxa" w:w="1928"/>
          </w:tcPr>
          <w:p>
            <w:r>
              <w:t>次</w:t>
            </w:r>
          </w:p>
        </w:tc>
        <w:tc>
          <w:tcPr>
            <w:tcW w:type="dxa" w:w="1928"/>
          </w:tcPr>
          <w:p>
            <w:r>
              <w:t>/</w:t>
            </w:r>
          </w:p>
        </w:tc>
        <w:tc>
          <w:tcPr>
            <w:tcW w:type="dxa" w:w="1928"/>
          </w:tcPr>
          <w:p>
            <w:r>
              <w:t>/</w:t>
            </w:r>
          </w:p>
        </w:tc>
        <w:tc>
          <w:tcPr>
            <w:tcW w:type="dxa" w:w="1928"/>
          </w:tcPr>
          <w:p>
            <w:r>
              <w:t>/</w:t>
            </w:r>
          </w:p>
        </w:tc>
      </w:tr>
    </w:tbl>
    <w:p>
      <w:r>
        <w:br/>
      </w:r>
    </w:p>
    <w:p>
      <w:r>
        <w:t>员工</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t>员工</w:t>
            </w:r>
          </w:p>
        </w:tc>
        <w:tc>
          <w:tcPr>
            <w:tcW w:type="dxa" w:w="1928"/>
            <w:shd w:fill="f5f2f0"/>
          </w:tcPr>
          <w:p>
            <w:r>
              <w:t>单位</w:t>
            </w:r>
          </w:p>
        </w:tc>
        <w:tc>
          <w:tcPr>
            <w:tcW w:type="dxa" w:w="1928"/>
            <w:shd w:fill="f5f2f0"/>
          </w:tcPr>
          <w:p>
            <w:r>
              <w:t>2021</w:t>
            </w:r>
          </w:p>
        </w:tc>
        <w:tc>
          <w:tcPr>
            <w:tcW w:type="dxa" w:w="1928"/>
            <w:shd w:fill="f5f2f0"/>
          </w:tcPr>
          <w:p>
            <w:r>
              <w:t>2022</w:t>
            </w:r>
          </w:p>
        </w:tc>
        <w:tc>
          <w:tcPr>
            <w:tcW w:type="dxa" w:w="1928"/>
            <w:shd w:fill="f5f2f0"/>
          </w:tcPr>
          <w:p>
            <w:r>
              <w:t>2023</w:t>
            </w:r>
          </w:p>
        </w:tc>
      </w:tr>
      <w:tr>
        <w:tc>
          <w:tcPr>
            <w:tcW w:type="dxa" w:w="1928"/>
          </w:tcPr>
          <w:p>
            <w:r>
              <w:t>员工人数：男性</w:t>
            </w:r>
          </w:p>
        </w:tc>
        <w:tc>
          <w:tcPr>
            <w:tcW w:type="dxa" w:w="1928"/>
          </w:tcPr>
          <w:p>
            <w:r>
              <w:t>人</w:t>
            </w:r>
          </w:p>
        </w:tc>
        <w:tc>
          <w:tcPr>
            <w:tcW w:type="dxa" w:w="1928"/>
          </w:tcPr>
          <w:p>
            <w:r>
              <w:t>/</w:t>
            </w:r>
          </w:p>
        </w:tc>
        <w:tc>
          <w:tcPr>
            <w:tcW w:type="dxa" w:w="1928"/>
          </w:tcPr>
          <w:p>
            <w:r>
              <w:t>/</w:t>
            </w:r>
          </w:p>
        </w:tc>
        <w:tc>
          <w:tcPr>
            <w:tcW w:type="dxa" w:w="1928"/>
          </w:tcPr>
          <w:p>
            <w:r>
              <w:t>/</w:t>
            </w:r>
          </w:p>
        </w:tc>
      </w:tr>
      <w:tr>
        <w:tc>
          <w:tcPr>
            <w:tcW w:type="dxa" w:w="1928"/>
          </w:tcPr>
          <w:p>
            <w:r>
              <w:t>员工人数：女性</w:t>
            </w:r>
          </w:p>
        </w:tc>
        <w:tc>
          <w:tcPr>
            <w:tcW w:type="dxa" w:w="1928"/>
          </w:tcPr>
          <w:p>
            <w:r>
              <w:t>人</w:t>
            </w:r>
          </w:p>
        </w:tc>
        <w:tc>
          <w:tcPr>
            <w:tcW w:type="dxa" w:w="1928"/>
          </w:tcPr>
          <w:p>
            <w:r>
              <w:t>/</w:t>
            </w:r>
          </w:p>
        </w:tc>
        <w:tc>
          <w:tcPr>
            <w:tcW w:type="dxa" w:w="1928"/>
          </w:tcPr>
          <w:p>
            <w:r>
              <w:t>/</w:t>
            </w:r>
          </w:p>
        </w:tc>
        <w:tc>
          <w:tcPr>
            <w:tcW w:type="dxa" w:w="1928"/>
          </w:tcPr>
          <w:p>
            <w:r>
              <w:t>/</w:t>
            </w:r>
          </w:p>
        </w:tc>
      </w:tr>
      <w:tr>
        <w:tc>
          <w:tcPr>
            <w:tcW w:type="dxa" w:w="1928"/>
          </w:tcPr>
          <w:p>
            <w:r>
              <w:t>离职人数</w:t>
            </w:r>
          </w:p>
        </w:tc>
        <w:tc>
          <w:tcPr>
            <w:tcW w:type="dxa" w:w="1928"/>
          </w:tcPr>
          <w:p>
            <w:r>
              <w:t>人</w:t>
            </w:r>
          </w:p>
        </w:tc>
        <w:tc>
          <w:tcPr>
            <w:tcW w:type="dxa" w:w="1928"/>
          </w:tcPr>
          <w:p>
            <w:r>
              <w:t>/</w:t>
            </w:r>
          </w:p>
        </w:tc>
        <w:tc>
          <w:tcPr>
            <w:tcW w:type="dxa" w:w="1928"/>
          </w:tcPr>
          <w:p>
            <w:r>
              <w:t>/</w:t>
            </w:r>
          </w:p>
        </w:tc>
        <w:tc>
          <w:tcPr>
            <w:tcW w:type="dxa" w:w="1928"/>
          </w:tcPr>
          <w:p>
            <w:r>
              <w:t>/</w:t>
            </w:r>
          </w:p>
        </w:tc>
      </w:tr>
      <w:tr>
        <w:tc>
          <w:tcPr>
            <w:tcW w:type="dxa" w:w="1928"/>
          </w:tcPr>
          <w:p>
            <w:r>
              <w:t>离职人数：男性</w:t>
            </w:r>
          </w:p>
        </w:tc>
        <w:tc>
          <w:tcPr>
            <w:tcW w:type="dxa" w:w="1928"/>
          </w:tcPr>
          <w:p>
            <w:r>
              <w:t>人</w:t>
            </w:r>
          </w:p>
        </w:tc>
        <w:tc>
          <w:tcPr>
            <w:tcW w:type="dxa" w:w="1928"/>
          </w:tcPr>
          <w:p>
            <w:r>
              <w:t>/</w:t>
            </w:r>
          </w:p>
        </w:tc>
        <w:tc>
          <w:tcPr>
            <w:tcW w:type="dxa" w:w="1928"/>
          </w:tcPr>
          <w:p>
            <w:r>
              <w:t>/</w:t>
            </w:r>
          </w:p>
        </w:tc>
        <w:tc>
          <w:tcPr>
            <w:tcW w:type="dxa" w:w="1928"/>
          </w:tcPr>
          <w:p>
            <w:r>
              <w:t>/</w:t>
            </w:r>
          </w:p>
        </w:tc>
      </w:tr>
      <w:tr>
        <w:tc>
          <w:tcPr>
            <w:tcW w:type="dxa" w:w="1928"/>
          </w:tcPr>
          <w:p>
            <w:r>
              <w:t>离职人数：女性</w:t>
            </w:r>
          </w:p>
        </w:tc>
        <w:tc>
          <w:tcPr>
            <w:tcW w:type="dxa" w:w="1928"/>
          </w:tcPr>
          <w:p>
            <w:r>
              <w:t>人</w:t>
            </w:r>
          </w:p>
        </w:tc>
        <w:tc>
          <w:tcPr>
            <w:tcW w:type="dxa" w:w="1928"/>
          </w:tcPr>
          <w:p>
            <w:r>
              <w:t>/</w:t>
            </w:r>
          </w:p>
        </w:tc>
        <w:tc>
          <w:tcPr>
            <w:tcW w:type="dxa" w:w="1928"/>
          </w:tcPr>
          <w:p>
            <w:r>
              <w:t>/</w:t>
            </w:r>
          </w:p>
        </w:tc>
        <w:tc>
          <w:tcPr>
            <w:tcW w:type="dxa" w:w="1928"/>
          </w:tcPr>
          <w:p>
            <w:r>
              <w:t>/</w:t>
            </w:r>
          </w:p>
        </w:tc>
      </w:tr>
      <w:tr>
        <w:tc>
          <w:tcPr>
            <w:tcW w:type="dxa" w:w="1928"/>
          </w:tcPr>
          <w:p>
            <w:r>
              <w:t>员工人数</w:t>
            </w:r>
          </w:p>
        </w:tc>
        <w:tc>
          <w:tcPr>
            <w:tcW w:type="dxa" w:w="1928"/>
          </w:tcPr>
          <w:p>
            <w:r>
              <w:t>人</w:t>
            </w:r>
          </w:p>
        </w:tc>
        <w:tc>
          <w:tcPr>
            <w:tcW w:type="dxa" w:w="1928"/>
          </w:tcPr>
          <w:p>
            <w:r>
              <w:t>/</w:t>
            </w:r>
          </w:p>
        </w:tc>
        <w:tc>
          <w:tcPr>
            <w:tcW w:type="dxa" w:w="1928"/>
          </w:tcPr>
          <w:p>
            <w:r>
              <w:t>/</w:t>
            </w:r>
          </w:p>
        </w:tc>
        <w:tc>
          <w:tcPr>
            <w:tcW w:type="dxa" w:w="1928"/>
          </w:tcPr>
          <w:p>
            <w:r>
              <w:t>/</w:t>
            </w:r>
          </w:p>
        </w:tc>
      </w:tr>
      <w:tr>
        <w:tc>
          <w:tcPr>
            <w:tcW w:type="dxa" w:w="1928"/>
          </w:tcPr>
          <w:p>
            <w:r>
              <w:t>员工培训时长</w:t>
            </w:r>
          </w:p>
        </w:tc>
        <w:tc>
          <w:tcPr>
            <w:tcW w:type="dxa" w:w="1928"/>
          </w:tcPr>
          <w:p>
            <w:r>
              <w:t>小时</w:t>
            </w:r>
          </w:p>
        </w:tc>
        <w:tc>
          <w:tcPr>
            <w:tcW w:type="dxa" w:w="1928"/>
          </w:tcPr>
          <w:p>
            <w:r>
              <w:t>/</w:t>
            </w:r>
          </w:p>
        </w:tc>
        <w:tc>
          <w:tcPr>
            <w:tcW w:type="dxa" w:w="1928"/>
          </w:tcPr>
          <w:p>
            <w:r>
              <w:t>/</w:t>
            </w:r>
          </w:p>
        </w:tc>
        <w:tc>
          <w:tcPr>
            <w:tcW w:type="dxa" w:w="1928"/>
          </w:tcPr>
          <w:p>
            <w:r>
              <w:t>/</w:t>
            </w:r>
          </w:p>
        </w:tc>
      </w:tr>
      <w:tr>
        <w:tc>
          <w:tcPr>
            <w:tcW w:type="dxa" w:w="1928"/>
          </w:tcPr>
          <w:p>
            <w:r>
              <w:t>员工培训时长：男性</w:t>
            </w:r>
          </w:p>
        </w:tc>
        <w:tc>
          <w:tcPr>
            <w:tcW w:type="dxa" w:w="1928"/>
          </w:tcPr>
          <w:p>
            <w:r>
              <w:t>小时</w:t>
            </w:r>
          </w:p>
        </w:tc>
        <w:tc>
          <w:tcPr>
            <w:tcW w:type="dxa" w:w="1928"/>
          </w:tcPr>
          <w:p>
            <w:r>
              <w:t>/</w:t>
            </w:r>
          </w:p>
        </w:tc>
        <w:tc>
          <w:tcPr>
            <w:tcW w:type="dxa" w:w="1928"/>
          </w:tcPr>
          <w:p>
            <w:r>
              <w:t>/</w:t>
            </w:r>
          </w:p>
        </w:tc>
        <w:tc>
          <w:tcPr>
            <w:tcW w:type="dxa" w:w="1928"/>
          </w:tcPr>
          <w:p>
            <w:r>
              <w:t>/</w:t>
            </w:r>
          </w:p>
        </w:tc>
      </w:tr>
      <w:tr>
        <w:tc>
          <w:tcPr>
            <w:tcW w:type="dxa" w:w="1928"/>
          </w:tcPr>
          <w:p>
            <w:r>
              <w:t>员工培训时长：女性</w:t>
            </w:r>
          </w:p>
        </w:tc>
        <w:tc>
          <w:tcPr>
            <w:tcW w:type="dxa" w:w="1928"/>
          </w:tcPr>
          <w:p>
            <w:r>
              <w:t>小时</w:t>
            </w:r>
          </w:p>
        </w:tc>
        <w:tc>
          <w:tcPr>
            <w:tcW w:type="dxa" w:w="1928"/>
          </w:tcPr>
          <w:p>
            <w:r>
              <w:t>/</w:t>
            </w:r>
          </w:p>
        </w:tc>
        <w:tc>
          <w:tcPr>
            <w:tcW w:type="dxa" w:w="1928"/>
          </w:tcPr>
          <w:p>
            <w:r>
              <w:t>/</w:t>
            </w:r>
          </w:p>
        </w:tc>
        <w:tc>
          <w:tcPr>
            <w:tcW w:type="dxa" w:w="1928"/>
          </w:tcPr>
          <w:p>
            <w:r>
              <w:t>/</w:t>
            </w:r>
          </w:p>
        </w:tc>
      </w:tr>
      <w:tr>
        <w:tc>
          <w:tcPr>
            <w:tcW w:type="dxa" w:w="1928"/>
          </w:tcPr>
          <w:p>
            <w:r>
              <w:t>工伤人数</w:t>
            </w:r>
          </w:p>
        </w:tc>
        <w:tc>
          <w:tcPr>
            <w:tcW w:type="dxa" w:w="1928"/>
          </w:tcPr>
          <w:p>
            <w:r>
              <w:t>人</w:t>
            </w:r>
          </w:p>
        </w:tc>
        <w:tc>
          <w:tcPr>
            <w:tcW w:type="dxa" w:w="1928"/>
          </w:tcPr>
          <w:p>
            <w:r>
              <w:t>/</w:t>
            </w:r>
          </w:p>
        </w:tc>
        <w:tc>
          <w:tcPr>
            <w:tcW w:type="dxa" w:w="1928"/>
          </w:tcPr>
          <w:p>
            <w:r>
              <w:t>/</w:t>
            </w:r>
          </w:p>
        </w:tc>
        <w:tc>
          <w:tcPr>
            <w:tcW w:type="dxa" w:w="1928"/>
          </w:tcPr>
          <w:p>
            <w:r>
              <w:t>/</w:t>
            </w:r>
          </w:p>
        </w:tc>
      </w:tr>
      <w:tr>
        <w:tc>
          <w:tcPr>
            <w:tcW w:type="dxa" w:w="1928"/>
          </w:tcPr>
          <w:p>
            <w:r>
              <w:t>工亡人数</w:t>
            </w:r>
          </w:p>
        </w:tc>
        <w:tc>
          <w:tcPr>
            <w:tcW w:type="dxa" w:w="1928"/>
          </w:tcPr>
          <w:p>
            <w:r>
              <w:t>人</w:t>
            </w:r>
          </w:p>
        </w:tc>
        <w:tc>
          <w:tcPr>
            <w:tcW w:type="dxa" w:w="1928"/>
          </w:tcPr>
          <w:p>
            <w:r>
              <w:t>/</w:t>
            </w:r>
          </w:p>
        </w:tc>
        <w:tc>
          <w:tcPr>
            <w:tcW w:type="dxa" w:w="1928"/>
          </w:tcPr>
          <w:p>
            <w:r>
              <w:t>/</w:t>
            </w:r>
          </w:p>
        </w:tc>
        <w:tc>
          <w:tcPr>
            <w:tcW w:type="dxa" w:w="1928"/>
          </w:tcPr>
          <w:p>
            <w:r>
              <w:t>/</w:t>
            </w:r>
          </w:p>
        </w:tc>
      </w:tr>
      <w:tr>
        <w:tc>
          <w:tcPr>
            <w:tcW w:type="dxa" w:w="1928"/>
          </w:tcPr>
          <w:p>
            <w:r>
              <w:t>工伤率（工伤/百万工时）</w:t>
            </w:r>
          </w:p>
        </w:tc>
        <w:tc>
          <w:tcPr>
            <w:tcW w:type="dxa" w:w="1928"/>
          </w:tcPr>
          <w:p>
            <w:r>
              <w:t>人次</w:t>
            </w:r>
          </w:p>
        </w:tc>
        <w:tc>
          <w:tcPr>
            <w:tcW w:type="dxa" w:w="1928"/>
          </w:tcPr>
          <w:p>
            <w:r>
              <w:t>/</w:t>
            </w:r>
          </w:p>
        </w:tc>
        <w:tc>
          <w:tcPr>
            <w:tcW w:type="dxa" w:w="1928"/>
          </w:tcPr>
          <w:p>
            <w:r>
              <w:t>/</w:t>
            </w:r>
          </w:p>
        </w:tc>
        <w:tc>
          <w:tcPr>
            <w:tcW w:type="dxa" w:w="1928"/>
          </w:tcPr>
          <w:p>
            <w:r>
              <w:t>/</w:t>
            </w:r>
          </w:p>
        </w:tc>
      </w:tr>
      <w:tr>
        <w:tc>
          <w:tcPr>
            <w:tcW w:type="dxa" w:w="1928"/>
          </w:tcPr>
          <w:p>
            <w:r>
              <w:t>工亡率（工亡/百万工时）</w:t>
            </w:r>
          </w:p>
        </w:tc>
        <w:tc>
          <w:tcPr>
            <w:tcW w:type="dxa" w:w="1928"/>
          </w:tcPr>
          <w:p>
            <w:r>
              <w:t>人次</w:t>
            </w:r>
          </w:p>
        </w:tc>
        <w:tc>
          <w:tcPr>
            <w:tcW w:type="dxa" w:w="1928"/>
          </w:tcPr>
          <w:p>
            <w:r>
              <w:t>/</w:t>
            </w:r>
          </w:p>
        </w:tc>
        <w:tc>
          <w:tcPr>
            <w:tcW w:type="dxa" w:w="1928"/>
          </w:tcPr>
          <w:p>
            <w:r>
              <w:t>/</w:t>
            </w:r>
          </w:p>
        </w:tc>
        <w:tc>
          <w:tcPr>
            <w:tcW w:type="dxa" w:w="1928"/>
          </w:tcPr>
          <w:p>
            <w:r>
              <w:t>/</w:t>
            </w:r>
          </w:p>
        </w:tc>
      </w:tr>
      <w:tr>
        <w:tc>
          <w:tcPr>
            <w:tcW w:type="dxa" w:w="1928"/>
          </w:tcPr>
          <w:p>
            <w:r>
              <w:t>员工离职率</w:t>
            </w:r>
          </w:p>
        </w:tc>
        <w:tc>
          <w:tcPr>
            <w:tcW w:type="dxa" w:w="1928"/>
          </w:tcPr>
          <w:p>
            <w:r/>
          </w:p>
        </w:tc>
        <w:tc>
          <w:tcPr>
            <w:tcW w:type="dxa" w:w="1928"/>
          </w:tcPr>
          <w:p>
            <w:r>
              <w:t>/</w:t>
            </w:r>
          </w:p>
        </w:tc>
        <w:tc>
          <w:tcPr>
            <w:tcW w:type="dxa" w:w="1928"/>
          </w:tcPr>
          <w:p>
            <w:r>
              <w:t>/</w:t>
            </w:r>
          </w:p>
        </w:tc>
        <w:tc>
          <w:tcPr>
            <w:tcW w:type="dxa" w:w="1928"/>
          </w:tcPr>
          <w:p>
            <w:r>
              <w:t>/</w:t>
            </w:r>
          </w:p>
        </w:tc>
      </w:tr>
      <w:tr>
        <w:tc>
          <w:tcPr>
            <w:tcW w:type="dxa" w:w="1928"/>
          </w:tcPr>
          <w:p>
            <w:r>
              <w:t>员工人均培训时长</w:t>
            </w:r>
          </w:p>
        </w:tc>
        <w:tc>
          <w:tcPr>
            <w:tcW w:type="dxa" w:w="1928"/>
          </w:tcPr>
          <w:p>
            <w:r>
              <w:t>小时</w:t>
            </w:r>
          </w:p>
        </w:tc>
        <w:tc>
          <w:tcPr>
            <w:tcW w:type="dxa" w:w="1928"/>
          </w:tcPr>
          <w:p>
            <w:r>
              <w:t>/</w:t>
            </w:r>
          </w:p>
        </w:tc>
        <w:tc>
          <w:tcPr>
            <w:tcW w:type="dxa" w:w="1928"/>
          </w:tcPr>
          <w:p>
            <w:r>
              <w:t>/</w:t>
            </w:r>
          </w:p>
        </w:tc>
        <w:tc>
          <w:tcPr>
            <w:tcW w:type="dxa" w:w="1928"/>
          </w:tcPr>
          <w:p>
            <w:r>
              <w:t>/</w:t>
            </w:r>
          </w:p>
        </w:tc>
      </w:tr>
      <w:tr>
        <w:tc>
          <w:tcPr>
            <w:tcW w:type="dxa" w:w="1928"/>
          </w:tcPr>
          <w:p>
            <w:r>
              <w:t>社保覆盖率</w:t>
            </w:r>
          </w:p>
        </w:tc>
        <w:tc>
          <w:tcPr>
            <w:tcW w:type="dxa" w:w="1928"/>
          </w:tcPr>
          <w:p>
            <w:r>
              <w:t>%</w:t>
            </w:r>
          </w:p>
        </w:tc>
        <w:tc>
          <w:tcPr>
            <w:tcW w:type="dxa" w:w="1928"/>
          </w:tcPr>
          <w:p>
            <w:r>
              <w:t>/</w:t>
            </w:r>
          </w:p>
        </w:tc>
        <w:tc>
          <w:tcPr>
            <w:tcW w:type="dxa" w:w="1928"/>
          </w:tcPr>
          <w:p>
            <w:r>
              <w:t>/</w:t>
            </w:r>
          </w:p>
        </w:tc>
        <w:tc>
          <w:tcPr>
            <w:tcW w:type="dxa" w:w="1928"/>
          </w:tcPr>
          <w:p>
            <w:r>
              <w:t>/</w:t>
            </w:r>
          </w:p>
        </w:tc>
      </w:tr>
      <w:tr>
        <w:tc>
          <w:tcPr>
            <w:tcW w:type="dxa" w:w="1928"/>
          </w:tcPr>
          <w:p>
            <w:r>
              <w:t>人均带薪年休假天数</w:t>
            </w:r>
          </w:p>
        </w:tc>
        <w:tc>
          <w:tcPr>
            <w:tcW w:type="dxa" w:w="1928"/>
          </w:tcPr>
          <w:p>
            <w:r>
              <w:t>天</w:t>
            </w:r>
          </w:p>
        </w:tc>
        <w:tc>
          <w:tcPr>
            <w:tcW w:type="dxa" w:w="1928"/>
          </w:tcPr>
          <w:p>
            <w:r>
              <w:t>/</w:t>
            </w:r>
          </w:p>
        </w:tc>
        <w:tc>
          <w:tcPr>
            <w:tcW w:type="dxa" w:w="1928"/>
          </w:tcPr>
          <w:p>
            <w:r>
              <w:t>/</w:t>
            </w:r>
          </w:p>
        </w:tc>
        <w:tc>
          <w:tcPr>
            <w:tcW w:type="dxa" w:w="1928"/>
          </w:tcPr>
          <w:p>
            <w:r>
              <w:t>/</w:t>
            </w:r>
          </w:p>
        </w:tc>
      </w:tr>
    </w:tbl>
    <w:p>
      <w:r>
        <w:br/>
      </w:r>
    </w:p>
    <w:p>
      <w:r>
        <w:t>反商业贿赂及反贪污</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t>反商业贿赂及反贪污</w:t>
            </w:r>
          </w:p>
        </w:tc>
        <w:tc>
          <w:tcPr>
            <w:tcW w:type="dxa" w:w="1928"/>
            <w:shd w:fill="f5f2f0"/>
          </w:tcPr>
          <w:p>
            <w:r>
              <w:t>单位</w:t>
            </w:r>
          </w:p>
        </w:tc>
        <w:tc>
          <w:tcPr>
            <w:tcW w:type="dxa" w:w="1928"/>
            <w:shd w:fill="f5f2f0"/>
          </w:tcPr>
          <w:p>
            <w:r>
              <w:t>2021</w:t>
            </w:r>
          </w:p>
        </w:tc>
        <w:tc>
          <w:tcPr>
            <w:tcW w:type="dxa" w:w="1928"/>
            <w:shd w:fill="f5f2f0"/>
          </w:tcPr>
          <w:p>
            <w:r>
              <w:t>2022</w:t>
            </w:r>
          </w:p>
        </w:tc>
        <w:tc>
          <w:tcPr>
            <w:tcW w:type="dxa" w:w="1928"/>
            <w:shd w:fill="f5f2f0"/>
          </w:tcPr>
          <w:p>
            <w:r>
              <w:t>2023</w:t>
            </w:r>
          </w:p>
        </w:tc>
      </w:tr>
      <w:tr>
        <w:tc>
          <w:tcPr>
            <w:tcW w:type="dxa" w:w="1928"/>
          </w:tcPr>
          <w:p>
            <w:r>
              <w:t>经确认的腐败事件</w:t>
            </w:r>
          </w:p>
        </w:tc>
        <w:tc>
          <w:tcPr>
            <w:tcW w:type="dxa" w:w="1928"/>
          </w:tcPr>
          <w:p>
            <w:r>
              <w:t>次</w:t>
            </w:r>
          </w:p>
        </w:tc>
        <w:tc>
          <w:tcPr>
            <w:tcW w:type="dxa" w:w="1928"/>
          </w:tcPr>
          <w:p>
            <w:r>
              <w:t>/</w:t>
            </w:r>
          </w:p>
        </w:tc>
        <w:tc>
          <w:tcPr>
            <w:tcW w:type="dxa" w:w="1928"/>
          </w:tcPr>
          <w:p>
            <w:r>
              <w:t>/</w:t>
            </w:r>
          </w:p>
        </w:tc>
        <w:tc>
          <w:tcPr>
            <w:tcW w:type="dxa" w:w="1928"/>
          </w:tcPr>
          <w:p>
            <w:r>
              <w:t>/</w:t>
            </w:r>
          </w:p>
        </w:tc>
      </w:tr>
      <w:tr>
        <w:tc>
          <w:tcPr>
            <w:tcW w:type="dxa" w:w="1928"/>
          </w:tcPr>
          <w:p>
            <w:r>
              <w:t>已进行腐败风险评估的运营点</w:t>
            </w:r>
          </w:p>
        </w:tc>
        <w:tc>
          <w:tcPr>
            <w:tcW w:type="dxa" w:w="1928"/>
          </w:tcPr>
          <w:p>
            <w:r>
              <w:t>家</w:t>
            </w:r>
          </w:p>
        </w:tc>
        <w:tc>
          <w:tcPr>
            <w:tcW w:type="dxa" w:w="1928"/>
          </w:tcPr>
          <w:p>
            <w:r>
              <w:t>/</w:t>
            </w:r>
          </w:p>
        </w:tc>
        <w:tc>
          <w:tcPr>
            <w:tcW w:type="dxa" w:w="1928"/>
          </w:tcPr>
          <w:p>
            <w:r>
              <w:t>/</w:t>
            </w:r>
          </w:p>
        </w:tc>
        <w:tc>
          <w:tcPr>
            <w:tcW w:type="dxa" w:w="1928"/>
          </w:tcPr>
          <w:p>
            <w:r>
              <w:t>/</w:t>
            </w:r>
          </w:p>
        </w:tc>
      </w:tr>
    </w:tbl>
    <w:p>
      <w:r>
        <w:br/>
      </w:r>
    </w:p>
    <w:p>
      <w:r>
        <w:t>反不正当竞争</w:t>
      </w:r>
    </w:p>
    <w:tbl>
      <w:tblPr>
        <w:tblStyle w:val="TableGrid"/>
        <w:tblW w:type="auto" w:w="0"/>
        <w:tblLook w:firstColumn="1" w:firstRow="1" w:lastColumn="0" w:lastRow="0" w:noHBand="0" w:noVBand="1" w:val="04A0"/>
      </w:tblPr>
      <w:tblGrid>
        <w:gridCol w:w="1928"/>
        <w:gridCol w:w="1928"/>
        <w:gridCol w:w="1928"/>
        <w:gridCol w:w="1928"/>
        <w:gridCol w:w="1928"/>
      </w:tblGrid>
      <w:tr>
        <w:tc>
          <w:tcPr>
            <w:tcW w:type="dxa" w:w="1928"/>
            <w:shd w:fill="f5f2f0"/>
          </w:tcPr>
          <w:p>
            <w:r>
              <w:t>反不正当竞争</w:t>
            </w:r>
          </w:p>
        </w:tc>
        <w:tc>
          <w:tcPr>
            <w:tcW w:type="dxa" w:w="1928"/>
            <w:shd w:fill="f5f2f0"/>
          </w:tcPr>
          <w:p>
            <w:r>
              <w:t>单位</w:t>
            </w:r>
          </w:p>
        </w:tc>
        <w:tc>
          <w:tcPr>
            <w:tcW w:type="dxa" w:w="1928"/>
            <w:shd w:fill="f5f2f0"/>
          </w:tcPr>
          <w:p>
            <w:r>
              <w:t>2021</w:t>
            </w:r>
          </w:p>
        </w:tc>
        <w:tc>
          <w:tcPr>
            <w:tcW w:type="dxa" w:w="1928"/>
            <w:shd w:fill="f5f2f0"/>
          </w:tcPr>
          <w:p>
            <w:r>
              <w:t>2022</w:t>
            </w:r>
          </w:p>
        </w:tc>
        <w:tc>
          <w:tcPr>
            <w:tcW w:type="dxa" w:w="1928"/>
            <w:shd w:fill="f5f2f0"/>
          </w:tcPr>
          <w:p>
            <w:r>
              <w:t>2023</w:t>
            </w:r>
          </w:p>
        </w:tc>
      </w:tr>
      <w:tr>
        <w:tc>
          <w:tcPr>
            <w:tcW w:type="dxa" w:w="1928"/>
          </w:tcPr>
          <w:p>
            <w:r>
              <w:t>垄断或不正当竞争纠纷数量</w:t>
            </w:r>
          </w:p>
        </w:tc>
        <w:tc>
          <w:tcPr>
            <w:tcW w:type="dxa" w:w="1928"/>
          </w:tcPr>
          <w:p>
            <w:r>
              <w:t>次</w:t>
            </w:r>
          </w:p>
        </w:tc>
        <w:tc>
          <w:tcPr>
            <w:tcW w:type="dxa" w:w="1928"/>
          </w:tcPr>
          <w:p>
            <w:r>
              <w:t>/</w:t>
            </w:r>
          </w:p>
        </w:tc>
        <w:tc>
          <w:tcPr>
            <w:tcW w:type="dxa" w:w="1928"/>
          </w:tcPr>
          <w:p>
            <w:r>
              <w:t>/</w:t>
            </w:r>
          </w:p>
        </w:tc>
        <w:tc>
          <w:tcPr>
            <w:tcW w:type="dxa" w:w="1928"/>
          </w:tcPr>
          <w:p>
            <w:r>
              <w:t>/</w:t>
            </w:r>
          </w:p>
        </w:tc>
      </w:tr>
    </w:tbl>
    <w:p>
      <w:r>
        <w:br/>
      </w:r>
    </w:p>
    <w:p>
      <w:r>
        <w:br w:type="page"/>
      </w:r>
    </w:p>
    <w:p>
      <w:pPr>
        <w:pStyle w:val="Heading1"/>
      </w:pPr>
      <w:r>
        <w:rPr>
          <w:rFonts w:ascii="等线" w:hAnsi="等线" w:eastAsia="等线"/>
          <w:color w:val="000000"/>
          <w:sz w:val="44"/>
        </w:rPr>
        <w:t>标准索引表</w:t>
      </w:r>
    </w:p>
    <w:p>
      <w:r>
        <w:t>GRI Standards</w:t>
      </w:r>
    </w:p>
    <w:tbl>
      <w:tblPr>
        <w:tblStyle w:val="TableGrid"/>
        <w:tblW w:type="auto" w:w="0"/>
        <w:tblLook w:firstColumn="1" w:firstRow="1" w:lastColumn="0" w:lastRow="0" w:noHBand="0" w:noVBand="1" w:val="04A0"/>
      </w:tblPr>
      <w:tblGrid>
        <w:gridCol w:w="2409"/>
        <w:gridCol w:w="2409"/>
        <w:gridCol w:w="2409"/>
        <w:gridCol w:w="2409"/>
      </w:tblGrid>
      <w:tr>
        <w:tc>
          <w:tcPr>
            <w:tcW w:type="dxa" w:w="2409"/>
            <w:shd w:fill="f5f2f0"/>
          </w:tcPr>
          <w:p>
            <w:r>
              <w:t>披露项编号</w:t>
            </w:r>
          </w:p>
        </w:tc>
        <w:tc>
          <w:tcPr>
            <w:tcW w:type="dxa" w:w="2409"/>
            <w:shd w:fill="f5f2f0"/>
          </w:tcPr>
          <w:p>
            <w:r>
              <w:t>披露议题</w:t>
            </w:r>
          </w:p>
        </w:tc>
        <w:tc>
          <w:tcPr>
            <w:tcW w:type="dxa" w:w="2409"/>
            <w:shd w:fill="f5f2f0"/>
          </w:tcPr>
          <w:p>
            <w:r>
              <w:t>对应章节</w:t>
            </w:r>
          </w:p>
        </w:tc>
        <w:tc>
          <w:tcPr>
            <w:tcW w:type="dxa" w:w="2409"/>
            <w:shd w:fill="f5f2f0"/>
          </w:tcPr>
          <w:p>
            <w:r>
              <w:t>对应页码</w:t>
            </w:r>
          </w:p>
        </w:tc>
      </w:tr>
      <w:tr>
        <w:tc>
          <w:tcPr>
            <w:tcW w:type="dxa" w:w="2409"/>
          </w:tcPr>
          <w:p>
            <w:r/>
          </w:p>
        </w:tc>
        <w:tc>
          <w:tcPr>
            <w:tcW w:type="dxa" w:w="2409"/>
          </w:tcPr>
          <w:p>
            <w:r>
              <w:t>GRI 2：一般披露 2021-1.组织及其报告做法</w:t>
            </w:r>
          </w:p>
        </w:tc>
        <w:tc>
          <w:tcPr>
            <w:tcW w:type="dxa" w:w="2409"/>
          </w:tcPr>
          <w:p>
            <w:r>
              <w:t>关于报告-报告范围与边界</w:t>
            </w:r>
          </w:p>
        </w:tc>
        <w:tc>
          <w:tcPr>
            <w:tcW w:type="dxa" w:w="2409"/>
          </w:tcPr>
          <w:p>
            <w:r/>
          </w:p>
        </w:tc>
      </w:tr>
      <w:tr>
        <w:tc>
          <w:tcPr>
            <w:tcW w:type="dxa" w:w="2409"/>
          </w:tcPr>
          <w:p>
            <w:r/>
          </w:p>
        </w:tc>
        <w:tc>
          <w:tcPr>
            <w:tcW w:type="dxa" w:w="2409"/>
          </w:tcPr>
          <w:p>
            <w:r>
              <w:t>GRI 2：一般披露 2021-1.组织及其报告做法</w:t>
            </w:r>
          </w:p>
        </w:tc>
        <w:tc>
          <w:tcPr>
            <w:tcW w:type="dxa" w:w="2409"/>
          </w:tcPr>
          <w:p>
            <w:r>
              <w:t>关于报告-报告时间范围</w:t>
            </w:r>
          </w:p>
        </w:tc>
        <w:tc>
          <w:tcPr>
            <w:tcW w:type="dxa" w:w="2409"/>
          </w:tcPr>
          <w:p>
            <w:r/>
          </w:p>
        </w:tc>
      </w:tr>
      <w:tr>
        <w:tc>
          <w:tcPr>
            <w:tcW w:type="dxa" w:w="2409"/>
          </w:tcPr>
          <w:p>
            <w:r/>
          </w:p>
        </w:tc>
        <w:tc>
          <w:tcPr>
            <w:tcW w:type="dxa" w:w="2409"/>
          </w:tcPr>
          <w:p>
            <w:r>
              <w:t>GRI 2：一般披露 2021-1.组织及其报告做法</w:t>
            </w:r>
          </w:p>
        </w:tc>
        <w:tc>
          <w:tcPr>
            <w:tcW w:type="dxa" w:w="2409"/>
          </w:tcPr>
          <w:p>
            <w:r>
              <w:t>关于报告-可靠性</w:t>
            </w:r>
          </w:p>
        </w:tc>
        <w:tc>
          <w:tcPr>
            <w:tcW w:type="dxa" w:w="2409"/>
          </w:tcPr>
          <w:p>
            <w:r/>
          </w:p>
        </w:tc>
      </w:tr>
      <w:tr>
        <w:tc>
          <w:tcPr>
            <w:tcW w:type="dxa" w:w="2409"/>
          </w:tcPr>
          <w:p>
            <w:r/>
          </w:p>
        </w:tc>
        <w:tc>
          <w:tcPr>
            <w:tcW w:type="dxa" w:w="2409"/>
          </w:tcPr>
          <w:p>
            <w:r>
              <w:t>GRI 2：一般披露 2021-1.组织及其报告做法</w:t>
            </w:r>
          </w:p>
        </w:tc>
        <w:tc>
          <w:tcPr>
            <w:tcW w:type="dxa" w:w="2409"/>
          </w:tcPr>
          <w:p>
            <w:r>
              <w:t>环境-应对气候变化</w:t>
            </w:r>
          </w:p>
        </w:tc>
        <w:tc>
          <w:tcPr>
            <w:tcW w:type="dxa" w:w="2409"/>
          </w:tcPr>
          <w:p>
            <w:r/>
          </w:p>
        </w:tc>
      </w:tr>
      <w:tr>
        <w:tc>
          <w:tcPr>
            <w:tcW w:type="dxa" w:w="2409"/>
          </w:tcPr>
          <w:p>
            <w:r/>
          </w:p>
        </w:tc>
        <w:tc>
          <w:tcPr>
            <w:tcW w:type="dxa" w:w="2409"/>
          </w:tcPr>
          <w:p>
            <w:r>
              <w:t>GRI 2：一般披露 2021-2.活动和工作者</w:t>
            </w:r>
          </w:p>
        </w:tc>
        <w:tc>
          <w:tcPr>
            <w:tcW w:type="dxa" w:w="2409"/>
          </w:tcPr>
          <w:p>
            <w:r>
              <w:t>社会-员工</w:t>
            </w:r>
          </w:p>
        </w:tc>
        <w:tc>
          <w:tcPr>
            <w:tcW w:type="dxa" w:w="2409"/>
          </w:tcPr>
          <w:p>
            <w:r/>
          </w:p>
        </w:tc>
      </w:tr>
      <w:tr>
        <w:tc>
          <w:tcPr>
            <w:tcW w:type="dxa" w:w="2409"/>
          </w:tcPr>
          <w:p>
            <w:r/>
          </w:p>
        </w:tc>
        <w:tc>
          <w:tcPr>
            <w:tcW w:type="dxa" w:w="2409"/>
          </w:tcPr>
          <w:p>
            <w:r>
              <w:t>GRI 2：一般披露 2021-3.管治</w:t>
            </w:r>
          </w:p>
        </w:tc>
        <w:tc>
          <w:tcPr>
            <w:tcW w:type="dxa" w:w="2409"/>
          </w:tcPr>
          <w:p>
            <w:r>
              <w:t>可持续发展管理-治理结构</w:t>
            </w:r>
          </w:p>
        </w:tc>
        <w:tc>
          <w:tcPr>
            <w:tcW w:type="dxa" w:w="2409"/>
          </w:tcPr>
          <w:p>
            <w:r/>
          </w:p>
        </w:tc>
      </w:tr>
      <w:tr>
        <w:tc>
          <w:tcPr>
            <w:tcW w:type="dxa" w:w="2409"/>
          </w:tcPr>
          <w:p>
            <w:r/>
          </w:p>
        </w:tc>
        <w:tc>
          <w:tcPr>
            <w:tcW w:type="dxa" w:w="2409"/>
          </w:tcPr>
          <w:p>
            <w:r>
              <w:t>GRI 2：一般披露 2021-4.战略、政策和实践</w:t>
            </w:r>
          </w:p>
        </w:tc>
        <w:tc>
          <w:tcPr>
            <w:tcW w:type="dxa" w:w="2409"/>
          </w:tcPr>
          <w:p>
            <w:r>
              <w:t>环境-污染物排放</w:t>
            </w:r>
          </w:p>
        </w:tc>
        <w:tc>
          <w:tcPr>
            <w:tcW w:type="dxa" w:w="2409"/>
          </w:tcPr>
          <w:p>
            <w:r/>
          </w:p>
        </w:tc>
      </w:tr>
      <w:tr>
        <w:tc>
          <w:tcPr>
            <w:tcW w:type="dxa" w:w="2409"/>
          </w:tcPr>
          <w:p>
            <w:r/>
          </w:p>
        </w:tc>
        <w:tc>
          <w:tcPr>
            <w:tcW w:type="dxa" w:w="2409"/>
          </w:tcPr>
          <w:p>
            <w:r>
              <w:t>GRI 2：一般披露 2021-4.战略、政策和实践</w:t>
            </w:r>
          </w:p>
        </w:tc>
        <w:tc>
          <w:tcPr>
            <w:tcW w:type="dxa" w:w="2409"/>
          </w:tcPr>
          <w:p>
            <w:r>
              <w:t>环境-环境合规管理</w:t>
            </w:r>
          </w:p>
        </w:tc>
        <w:tc>
          <w:tcPr>
            <w:tcW w:type="dxa" w:w="2409"/>
          </w:tcPr>
          <w:p>
            <w:r/>
          </w:p>
        </w:tc>
      </w:tr>
      <w:tr>
        <w:tc>
          <w:tcPr>
            <w:tcW w:type="dxa" w:w="2409"/>
          </w:tcPr>
          <w:p>
            <w:r/>
          </w:p>
        </w:tc>
        <w:tc>
          <w:tcPr>
            <w:tcW w:type="dxa" w:w="2409"/>
          </w:tcPr>
          <w:p>
            <w:r>
              <w:t>GRI 2：一般披露 2021-5.利益相关方参与</w:t>
            </w:r>
          </w:p>
        </w:tc>
        <w:tc>
          <w:tcPr>
            <w:tcW w:type="dxa" w:w="2409"/>
          </w:tcPr>
          <w:p>
            <w:r>
              <w:t>社会-员工</w:t>
            </w:r>
          </w:p>
        </w:tc>
        <w:tc>
          <w:tcPr>
            <w:tcW w:type="dxa" w:w="2409"/>
          </w:tcPr>
          <w:p>
            <w:r/>
          </w:p>
        </w:tc>
      </w:tr>
      <w:tr>
        <w:tc>
          <w:tcPr>
            <w:tcW w:type="dxa" w:w="2409"/>
          </w:tcPr>
          <w:p>
            <w:r/>
          </w:p>
        </w:tc>
        <w:tc>
          <w:tcPr>
            <w:tcW w:type="dxa" w:w="2409"/>
          </w:tcPr>
          <w:p>
            <w:r>
              <w:t>GRI 2：一般披露 2021-5.利益相关方参与</w:t>
            </w:r>
          </w:p>
        </w:tc>
        <w:tc>
          <w:tcPr>
            <w:tcW w:type="dxa" w:w="2409"/>
          </w:tcPr>
          <w:p>
            <w:r>
              <w:t>公司治理-利益相关方沟通</w:t>
            </w:r>
          </w:p>
        </w:tc>
        <w:tc>
          <w:tcPr>
            <w:tcW w:type="dxa" w:w="2409"/>
          </w:tcPr>
          <w:p>
            <w:r/>
          </w:p>
        </w:tc>
      </w:tr>
      <w:tr>
        <w:tc>
          <w:tcPr>
            <w:tcW w:type="dxa" w:w="2409"/>
          </w:tcPr>
          <w:p>
            <w:r/>
          </w:p>
        </w:tc>
        <w:tc>
          <w:tcPr>
            <w:tcW w:type="dxa" w:w="2409"/>
          </w:tcPr>
          <w:p>
            <w:r>
              <w:t>GRI 3：实质性议题 2021-2.实质性议题的披露项</w:t>
            </w:r>
          </w:p>
        </w:tc>
        <w:tc>
          <w:tcPr>
            <w:tcW w:type="dxa" w:w="2409"/>
          </w:tcPr>
          <w:p>
            <w:r>
              <w:t>可持续发展管理</w:t>
            </w:r>
          </w:p>
        </w:tc>
        <w:tc>
          <w:tcPr>
            <w:tcW w:type="dxa" w:w="2409"/>
          </w:tcPr>
          <w:p>
            <w:r/>
          </w:p>
        </w:tc>
      </w:tr>
      <w:tr>
        <w:tc>
          <w:tcPr>
            <w:tcW w:type="dxa" w:w="2409"/>
          </w:tcPr>
          <w:p>
            <w:r/>
          </w:p>
        </w:tc>
        <w:tc>
          <w:tcPr>
            <w:tcW w:type="dxa" w:w="2409"/>
          </w:tcPr>
          <w:p>
            <w:r>
              <w:t>GRI 3：实质性议题 2021-2.实质性议题的披露项</w:t>
            </w:r>
          </w:p>
        </w:tc>
        <w:tc>
          <w:tcPr>
            <w:tcW w:type="dxa" w:w="2409"/>
          </w:tcPr>
          <w:p>
            <w:r>
              <w:t>可持续发展管理-治理结构</w:t>
            </w:r>
          </w:p>
        </w:tc>
        <w:tc>
          <w:tcPr>
            <w:tcW w:type="dxa" w:w="2409"/>
          </w:tcPr>
          <w:p>
            <w:r/>
          </w:p>
        </w:tc>
      </w:tr>
      <w:tr>
        <w:tc>
          <w:tcPr>
            <w:tcW w:type="dxa" w:w="2409"/>
          </w:tcPr>
          <w:p>
            <w:r/>
          </w:p>
        </w:tc>
        <w:tc>
          <w:tcPr>
            <w:tcW w:type="dxa" w:w="2409"/>
          </w:tcPr>
          <w:p>
            <w:r>
              <w:t>GRI 3：实质性议题 2021-2.实质性议题的披露项</w:t>
            </w:r>
          </w:p>
        </w:tc>
        <w:tc>
          <w:tcPr>
            <w:tcW w:type="dxa" w:w="2409"/>
          </w:tcPr>
          <w:p>
            <w:r>
              <w:t>可持续发展管理-风险与机遇识别</w:t>
            </w:r>
          </w:p>
        </w:tc>
        <w:tc>
          <w:tcPr>
            <w:tcW w:type="dxa" w:w="2409"/>
          </w:tcPr>
          <w:p>
            <w:r/>
          </w:p>
        </w:tc>
      </w:tr>
      <w:tr>
        <w:tc>
          <w:tcPr>
            <w:tcW w:type="dxa" w:w="2409"/>
          </w:tcPr>
          <w:p>
            <w:r/>
          </w:p>
        </w:tc>
        <w:tc>
          <w:tcPr>
            <w:tcW w:type="dxa" w:w="2409"/>
          </w:tcPr>
          <w:p>
            <w:r>
              <w:t>GRI 3：实质性议题 2021-2.实质性议题的披露项</w:t>
            </w:r>
          </w:p>
        </w:tc>
        <w:tc>
          <w:tcPr>
            <w:tcW w:type="dxa" w:w="2409"/>
          </w:tcPr>
          <w:p>
            <w:r>
              <w:t>可持续发展管理-战略与决策应对</w:t>
            </w:r>
          </w:p>
        </w:tc>
        <w:tc>
          <w:tcPr>
            <w:tcW w:type="dxa" w:w="2409"/>
          </w:tcPr>
          <w:p>
            <w:r/>
          </w:p>
        </w:tc>
      </w:tr>
      <w:tr>
        <w:tc>
          <w:tcPr>
            <w:tcW w:type="dxa" w:w="2409"/>
          </w:tcPr>
          <w:p>
            <w:r/>
          </w:p>
        </w:tc>
        <w:tc>
          <w:tcPr>
            <w:tcW w:type="dxa" w:w="2409"/>
          </w:tcPr>
          <w:p>
            <w:r>
              <w:t>GRI 3：实质性议题 2021-2.实质性议题的披露项</w:t>
            </w:r>
          </w:p>
        </w:tc>
        <w:tc>
          <w:tcPr>
            <w:tcW w:type="dxa" w:w="2409"/>
          </w:tcPr>
          <w:p>
            <w:r>
              <w:t>可持续发展管理-风险机遇影响等应对流程</w:t>
            </w:r>
          </w:p>
        </w:tc>
        <w:tc>
          <w:tcPr>
            <w:tcW w:type="dxa" w:w="2409"/>
          </w:tcPr>
          <w:p>
            <w:r/>
          </w:p>
        </w:tc>
      </w:tr>
      <w:tr>
        <w:tc>
          <w:tcPr>
            <w:tcW w:type="dxa" w:w="2409"/>
          </w:tcPr>
          <w:p>
            <w:r/>
          </w:p>
        </w:tc>
        <w:tc>
          <w:tcPr>
            <w:tcW w:type="dxa" w:w="2409"/>
          </w:tcPr>
          <w:p>
            <w:r>
              <w:t>GRI 3：实质性议题 2021-2.实质性议题的披露项</w:t>
            </w:r>
          </w:p>
        </w:tc>
        <w:tc>
          <w:tcPr>
            <w:tcW w:type="dxa" w:w="2409"/>
          </w:tcPr>
          <w:p>
            <w:r>
              <w:t>可持续发展管理-目标与指标披露管理流程</w:t>
            </w:r>
          </w:p>
        </w:tc>
        <w:tc>
          <w:tcPr>
            <w:tcW w:type="dxa" w:w="2409"/>
          </w:tcPr>
          <w:p>
            <w:r/>
          </w:p>
        </w:tc>
      </w:tr>
      <w:tr>
        <w:tc>
          <w:tcPr>
            <w:tcW w:type="dxa" w:w="2409"/>
          </w:tcPr>
          <w:p>
            <w:r/>
          </w:p>
        </w:tc>
        <w:tc>
          <w:tcPr>
            <w:tcW w:type="dxa" w:w="2409"/>
          </w:tcPr>
          <w:p>
            <w:r>
              <w:t>GRI 3：实质性议题 2021-2.实质性议题的披露项</w:t>
            </w:r>
          </w:p>
        </w:tc>
        <w:tc>
          <w:tcPr>
            <w:tcW w:type="dxa" w:w="2409"/>
          </w:tcPr>
          <w:p>
            <w:r>
              <w:t>公司治理-尽职调查</w:t>
            </w:r>
          </w:p>
        </w:tc>
        <w:tc>
          <w:tcPr>
            <w:tcW w:type="dxa" w:w="2409"/>
          </w:tcPr>
          <w:p>
            <w:r/>
          </w:p>
        </w:tc>
      </w:tr>
      <w:tr>
        <w:tc>
          <w:tcPr>
            <w:tcW w:type="dxa" w:w="2409"/>
          </w:tcPr>
          <w:p>
            <w:r/>
          </w:p>
        </w:tc>
        <w:tc>
          <w:tcPr>
            <w:tcW w:type="dxa" w:w="2409"/>
          </w:tcPr>
          <w:p>
            <w:r>
              <w:t>GRI 201：经济绩效 2016-2. 议题披露项</w:t>
            </w:r>
          </w:p>
        </w:tc>
        <w:tc>
          <w:tcPr>
            <w:tcW w:type="dxa" w:w="2409"/>
          </w:tcPr>
          <w:p>
            <w:r>
              <w:t>环境-应对气候变化</w:t>
            </w:r>
          </w:p>
        </w:tc>
        <w:tc>
          <w:tcPr>
            <w:tcW w:type="dxa" w:w="2409"/>
          </w:tcPr>
          <w:p>
            <w:r/>
          </w:p>
        </w:tc>
      </w:tr>
      <w:tr>
        <w:tc>
          <w:tcPr>
            <w:tcW w:type="dxa" w:w="2409"/>
          </w:tcPr>
          <w:p>
            <w:r/>
          </w:p>
        </w:tc>
        <w:tc>
          <w:tcPr>
            <w:tcW w:type="dxa" w:w="2409"/>
          </w:tcPr>
          <w:p>
            <w:r>
              <w:t>GRI 203：间接经济影响 2016-2. 议题披露项</w:t>
            </w:r>
          </w:p>
        </w:tc>
        <w:tc>
          <w:tcPr>
            <w:tcW w:type="dxa" w:w="2409"/>
          </w:tcPr>
          <w:p>
            <w:r>
              <w:t>社会-社会贡献</w:t>
            </w:r>
          </w:p>
        </w:tc>
        <w:tc>
          <w:tcPr>
            <w:tcW w:type="dxa" w:w="2409"/>
          </w:tcPr>
          <w:p>
            <w:r/>
          </w:p>
        </w:tc>
      </w:tr>
      <w:tr>
        <w:tc>
          <w:tcPr>
            <w:tcW w:type="dxa" w:w="2409"/>
          </w:tcPr>
          <w:p>
            <w:r/>
          </w:p>
        </w:tc>
        <w:tc>
          <w:tcPr>
            <w:tcW w:type="dxa" w:w="2409"/>
          </w:tcPr>
          <w:p>
            <w:r>
              <w:t>GRI 204：采购实践 2016-1. 议题管理披露项</w:t>
            </w:r>
          </w:p>
        </w:tc>
        <w:tc>
          <w:tcPr>
            <w:tcW w:type="dxa" w:w="2409"/>
          </w:tcPr>
          <w:p>
            <w:r>
              <w:t>社会-平等对待中小企业</w:t>
            </w:r>
          </w:p>
        </w:tc>
        <w:tc>
          <w:tcPr>
            <w:tcW w:type="dxa" w:w="2409"/>
          </w:tcPr>
          <w:p>
            <w:r/>
          </w:p>
        </w:tc>
      </w:tr>
      <w:tr>
        <w:tc>
          <w:tcPr>
            <w:tcW w:type="dxa" w:w="2409"/>
          </w:tcPr>
          <w:p>
            <w:r/>
          </w:p>
        </w:tc>
        <w:tc>
          <w:tcPr>
            <w:tcW w:type="dxa" w:w="2409"/>
          </w:tcPr>
          <w:p>
            <w:r>
              <w:t>GRI 205：反腐败 2016-2.议题披露项</w:t>
            </w:r>
          </w:p>
        </w:tc>
        <w:tc>
          <w:tcPr>
            <w:tcW w:type="dxa" w:w="2409"/>
          </w:tcPr>
          <w:p>
            <w:r>
              <w:t>公司治理-反商业贿赂及反贪污</w:t>
            </w:r>
          </w:p>
        </w:tc>
        <w:tc>
          <w:tcPr>
            <w:tcW w:type="dxa" w:w="2409"/>
          </w:tcPr>
          <w:p>
            <w:r/>
          </w:p>
        </w:tc>
      </w:tr>
      <w:tr>
        <w:tc>
          <w:tcPr>
            <w:tcW w:type="dxa" w:w="2409"/>
          </w:tcPr>
          <w:p>
            <w:r/>
          </w:p>
        </w:tc>
        <w:tc>
          <w:tcPr>
            <w:tcW w:type="dxa" w:w="2409"/>
          </w:tcPr>
          <w:p>
            <w:r>
              <w:t>GRI 206：反竞争行为 2016-2.议题披露项</w:t>
            </w:r>
          </w:p>
        </w:tc>
        <w:tc>
          <w:tcPr>
            <w:tcW w:type="dxa" w:w="2409"/>
          </w:tcPr>
          <w:p>
            <w:r>
              <w:t>公司治理-反不正当竞争</w:t>
            </w:r>
          </w:p>
        </w:tc>
        <w:tc>
          <w:tcPr>
            <w:tcW w:type="dxa" w:w="2409"/>
          </w:tcPr>
          <w:p>
            <w:r/>
          </w:p>
        </w:tc>
      </w:tr>
      <w:tr>
        <w:tc>
          <w:tcPr>
            <w:tcW w:type="dxa" w:w="2409"/>
          </w:tcPr>
          <w:p>
            <w:r/>
          </w:p>
        </w:tc>
        <w:tc>
          <w:tcPr>
            <w:tcW w:type="dxa" w:w="2409"/>
          </w:tcPr>
          <w:p>
            <w:r>
              <w:t>GRI 301：物料 2016-2.议题披露项</w:t>
            </w:r>
          </w:p>
        </w:tc>
        <w:tc>
          <w:tcPr>
            <w:tcW w:type="dxa" w:w="2409"/>
          </w:tcPr>
          <w:p>
            <w:r>
              <w:t>环境-循环经济</w:t>
            </w:r>
          </w:p>
        </w:tc>
        <w:tc>
          <w:tcPr>
            <w:tcW w:type="dxa" w:w="2409"/>
          </w:tcPr>
          <w:p>
            <w:r/>
          </w:p>
        </w:tc>
      </w:tr>
      <w:tr>
        <w:tc>
          <w:tcPr>
            <w:tcW w:type="dxa" w:w="2409"/>
          </w:tcPr>
          <w:p>
            <w:r/>
          </w:p>
        </w:tc>
        <w:tc>
          <w:tcPr>
            <w:tcW w:type="dxa" w:w="2409"/>
          </w:tcPr>
          <w:p>
            <w:r>
              <w:t>GRI 302：能源 2016-2.议题披露项</w:t>
            </w:r>
          </w:p>
        </w:tc>
        <w:tc>
          <w:tcPr>
            <w:tcW w:type="dxa" w:w="2409"/>
          </w:tcPr>
          <w:p>
            <w:r>
              <w:t>环境-应对气候变化</w:t>
            </w:r>
          </w:p>
        </w:tc>
        <w:tc>
          <w:tcPr>
            <w:tcW w:type="dxa" w:w="2409"/>
          </w:tcPr>
          <w:p>
            <w:r/>
          </w:p>
        </w:tc>
      </w:tr>
      <w:tr>
        <w:tc>
          <w:tcPr>
            <w:tcW w:type="dxa" w:w="2409"/>
          </w:tcPr>
          <w:p>
            <w:r/>
          </w:p>
        </w:tc>
        <w:tc>
          <w:tcPr>
            <w:tcW w:type="dxa" w:w="2409"/>
          </w:tcPr>
          <w:p>
            <w:r>
              <w:t>GRI 302：能源 2016-2.议题披露项</w:t>
            </w:r>
          </w:p>
        </w:tc>
        <w:tc>
          <w:tcPr>
            <w:tcW w:type="dxa" w:w="2409"/>
          </w:tcPr>
          <w:p>
            <w:r>
              <w:t>环境-能源利用</w:t>
            </w:r>
          </w:p>
        </w:tc>
        <w:tc>
          <w:tcPr>
            <w:tcW w:type="dxa" w:w="2409"/>
          </w:tcPr>
          <w:p>
            <w:r/>
          </w:p>
        </w:tc>
      </w:tr>
      <w:tr>
        <w:tc>
          <w:tcPr>
            <w:tcW w:type="dxa" w:w="2409"/>
          </w:tcPr>
          <w:p>
            <w:r/>
          </w:p>
        </w:tc>
        <w:tc>
          <w:tcPr>
            <w:tcW w:type="dxa" w:w="2409"/>
          </w:tcPr>
          <w:p>
            <w:r>
              <w:t>GRI 303：水资源和污水 2018</w:t>
            </w:r>
          </w:p>
        </w:tc>
        <w:tc>
          <w:tcPr>
            <w:tcW w:type="dxa" w:w="2409"/>
          </w:tcPr>
          <w:p>
            <w:r>
              <w:t>环境-污染物排放</w:t>
            </w:r>
          </w:p>
        </w:tc>
        <w:tc>
          <w:tcPr>
            <w:tcW w:type="dxa" w:w="2409"/>
          </w:tcPr>
          <w:p>
            <w:r/>
          </w:p>
        </w:tc>
      </w:tr>
      <w:tr>
        <w:tc>
          <w:tcPr>
            <w:tcW w:type="dxa" w:w="2409"/>
          </w:tcPr>
          <w:p>
            <w:r/>
          </w:p>
        </w:tc>
        <w:tc>
          <w:tcPr>
            <w:tcW w:type="dxa" w:w="2409"/>
          </w:tcPr>
          <w:p>
            <w:r>
              <w:t>GRI 303：水资源和污水 2018-1.议题管理披露项</w:t>
            </w:r>
          </w:p>
        </w:tc>
        <w:tc>
          <w:tcPr>
            <w:tcW w:type="dxa" w:w="2409"/>
          </w:tcPr>
          <w:p>
            <w:r>
              <w:t>环境-水资源利用</w:t>
            </w:r>
          </w:p>
        </w:tc>
        <w:tc>
          <w:tcPr>
            <w:tcW w:type="dxa" w:w="2409"/>
          </w:tcPr>
          <w:p>
            <w:r/>
          </w:p>
        </w:tc>
      </w:tr>
      <w:tr>
        <w:tc>
          <w:tcPr>
            <w:tcW w:type="dxa" w:w="2409"/>
          </w:tcPr>
          <w:p>
            <w:r/>
          </w:p>
        </w:tc>
        <w:tc>
          <w:tcPr>
            <w:tcW w:type="dxa" w:w="2409"/>
          </w:tcPr>
          <w:p>
            <w:r>
              <w:t>GRI 303：水资源和污水 2018-2.议题披露项</w:t>
            </w:r>
          </w:p>
        </w:tc>
        <w:tc>
          <w:tcPr>
            <w:tcW w:type="dxa" w:w="2409"/>
          </w:tcPr>
          <w:p>
            <w:r>
              <w:t>环境-水资源利用</w:t>
            </w:r>
          </w:p>
        </w:tc>
        <w:tc>
          <w:tcPr>
            <w:tcW w:type="dxa" w:w="2409"/>
          </w:tcPr>
          <w:p>
            <w:r/>
          </w:p>
        </w:tc>
      </w:tr>
      <w:tr>
        <w:tc>
          <w:tcPr>
            <w:tcW w:type="dxa" w:w="2409"/>
          </w:tcPr>
          <w:p>
            <w:r/>
          </w:p>
        </w:tc>
        <w:tc>
          <w:tcPr>
            <w:tcW w:type="dxa" w:w="2409"/>
          </w:tcPr>
          <w:p>
            <w:r>
              <w:t>GRI 304：生物多样性 2016-2.议题披露项</w:t>
            </w:r>
          </w:p>
        </w:tc>
        <w:tc>
          <w:tcPr>
            <w:tcW w:type="dxa" w:w="2409"/>
          </w:tcPr>
          <w:p>
            <w:r>
              <w:t>环境-生态系统和生物多样性</w:t>
            </w:r>
          </w:p>
        </w:tc>
        <w:tc>
          <w:tcPr>
            <w:tcW w:type="dxa" w:w="2409"/>
          </w:tcPr>
          <w:p>
            <w:r/>
          </w:p>
        </w:tc>
      </w:tr>
      <w:tr>
        <w:tc>
          <w:tcPr>
            <w:tcW w:type="dxa" w:w="2409"/>
          </w:tcPr>
          <w:p>
            <w:r/>
          </w:p>
        </w:tc>
        <w:tc>
          <w:tcPr>
            <w:tcW w:type="dxa" w:w="2409"/>
          </w:tcPr>
          <w:p>
            <w:r>
              <w:t>GRI 305：排放 2016</w:t>
            </w:r>
          </w:p>
        </w:tc>
        <w:tc>
          <w:tcPr>
            <w:tcW w:type="dxa" w:w="2409"/>
          </w:tcPr>
          <w:p>
            <w:r>
              <w:t>环境-污染物排放</w:t>
            </w:r>
          </w:p>
        </w:tc>
        <w:tc>
          <w:tcPr>
            <w:tcW w:type="dxa" w:w="2409"/>
          </w:tcPr>
          <w:p>
            <w:r/>
          </w:p>
        </w:tc>
      </w:tr>
      <w:tr>
        <w:tc>
          <w:tcPr>
            <w:tcW w:type="dxa" w:w="2409"/>
          </w:tcPr>
          <w:p>
            <w:r/>
          </w:p>
        </w:tc>
        <w:tc>
          <w:tcPr>
            <w:tcW w:type="dxa" w:w="2409"/>
          </w:tcPr>
          <w:p>
            <w:r>
              <w:t>GRI 305：排放 2016-2.议题披露项</w:t>
            </w:r>
          </w:p>
        </w:tc>
        <w:tc>
          <w:tcPr>
            <w:tcW w:type="dxa" w:w="2409"/>
          </w:tcPr>
          <w:p>
            <w:r>
              <w:t>环境-应对气候变化</w:t>
            </w:r>
          </w:p>
        </w:tc>
        <w:tc>
          <w:tcPr>
            <w:tcW w:type="dxa" w:w="2409"/>
          </w:tcPr>
          <w:p>
            <w:r/>
          </w:p>
        </w:tc>
      </w:tr>
      <w:tr>
        <w:tc>
          <w:tcPr>
            <w:tcW w:type="dxa" w:w="2409"/>
          </w:tcPr>
          <w:p>
            <w:r/>
          </w:p>
        </w:tc>
        <w:tc>
          <w:tcPr>
            <w:tcW w:type="dxa" w:w="2409"/>
          </w:tcPr>
          <w:p>
            <w:r>
              <w:t>GRI 306：废弃物 2020-2.议题披露项</w:t>
            </w:r>
          </w:p>
        </w:tc>
        <w:tc>
          <w:tcPr>
            <w:tcW w:type="dxa" w:w="2409"/>
          </w:tcPr>
          <w:p>
            <w:r>
              <w:t>环境-废弃物处理</w:t>
            </w:r>
          </w:p>
        </w:tc>
        <w:tc>
          <w:tcPr>
            <w:tcW w:type="dxa" w:w="2409"/>
          </w:tcPr>
          <w:p>
            <w:r/>
          </w:p>
        </w:tc>
      </w:tr>
      <w:tr>
        <w:tc>
          <w:tcPr>
            <w:tcW w:type="dxa" w:w="2409"/>
          </w:tcPr>
          <w:p>
            <w:r/>
          </w:p>
        </w:tc>
        <w:tc>
          <w:tcPr>
            <w:tcW w:type="dxa" w:w="2409"/>
          </w:tcPr>
          <w:p>
            <w:r>
              <w:t>GRI 306：废弃物 2020-2.议题披露项</w:t>
            </w:r>
          </w:p>
        </w:tc>
        <w:tc>
          <w:tcPr>
            <w:tcW w:type="dxa" w:w="2409"/>
          </w:tcPr>
          <w:p>
            <w:r>
              <w:t>环境-循环经济</w:t>
            </w:r>
          </w:p>
        </w:tc>
        <w:tc>
          <w:tcPr>
            <w:tcW w:type="dxa" w:w="2409"/>
          </w:tcPr>
          <w:p>
            <w:r/>
          </w:p>
        </w:tc>
      </w:tr>
      <w:tr>
        <w:tc>
          <w:tcPr>
            <w:tcW w:type="dxa" w:w="2409"/>
          </w:tcPr>
          <w:p>
            <w:r/>
          </w:p>
        </w:tc>
        <w:tc>
          <w:tcPr>
            <w:tcW w:type="dxa" w:w="2409"/>
          </w:tcPr>
          <w:p>
            <w:r>
              <w:t>GRI 308：供应商环境评估 2016-2.议题披露项</w:t>
            </w:r>
          </w:p>
        </w:tc>
        <w:tc>
          <w:tcPr>
            <w:tcW w:type="dxa" w:w="2409"/>
          </w:tcPr>
          <w:p>
            <w:r>
              <w:t>社会-供应链安全</w:t>
            </w:r>
          </w:p>
        </w:tc>
        <w:tc>
          <w:tcPr>
            <w:tcW w:type="dxa" w:w="2409"/>
          </w:tcPr>
          <w:p>
            <w:r/>
          </w:p>
        </w:tc>
      </w:tr>
      <w:tr>
        <w:tc>
          <w:tcPr>
            <w:tcW w:type="dxa" w:w="2409"/>
          </w:tcPr>
          <w:p>
            <w:r/>
          </w:p>
        </w:tc>
        <w:tc>
          <w:tcPr>
            <w:tcW w:type="dxa" w:w="2409"/>
          </w:tcPr>
          <w:p>
            <w:r>
              <w:t>GRI 401：雇佣 2016-2.议题披露项</w:t>
            </w:r>
          </w:p>
        </w:tc>
        <w:tc>
          <w:tcPr>
            <w:tcW w:type="dxa" w:w="2409"/>
          </w:tcPr>
          <w:p>
            <w:r>
              <w:t>社会-员工</w:t>
            </w:r>
          </w:p>
        </w:tc>
        <w:tc>
          <w:tcPr>
            <w:tcW w:type="dxa" w:w="2409"/>
          </w:tcPr>
          <w:p>
            <w:r/>
          </w:p>
        </w:tc>
      </w:tr>
      <w:tr>
        <w:tc>
          <w:tcPr>
            <w:tcW w:type="dxa" w:w="2409"/>
          </w:tcPr>
          <w:p>
            <w:r/>
          </w:p>
        </w:tc>
        <w:tc>
          <w:tcPr>
            <w:tcW w:type="dxa" w:w="2409"/>
          </w:tcPr>
          <w:p>
            <w:r>
              <w:t>GRI 403：职业健康与安全 2018-1.议题管理披露项</w:t>
            </w:r>
          </w:p>
        </w:tc>
        <w:tc>
          <w:tcPr>
            <w:tcW w:type="dxa" w:w="2409"/>
          </w:tcPr>
          <w:p>
            <w:r>
              <w:t>社会-员工</w:t>
            </w:r>
          </w:p>
        </w:tc>
        <w:tc>
          <w:tcPr>
            <w:tcW w:type="dxa" w:w="2409"/>
          </w:tcPr>
          <w:p>
            <w:r/>
          </w:p>
        </w:tc>
      </w:tr>
      <w:tr>
        <w:tc>
          <w:tcPr>
            <w:tcW w:type="dxa" w:w="2409"/>
          </w:tcPr>
          <w:p>
            <w:r/>
          </w:p>
        </w:tc>
        <w:tc>
          <w:tcPr>
            <w:tcW w:type="dxa" w:w="2409"/>
          </w:tcPr>
          <w:p>
            <w:r>
              <w:t>GRI 403：职业健康与安全 2018-2.议题披露项</w:t>
            </w:r>
          </w:p>
        </w:tc>
        <w:tc>
          <w:tcPr>
            <w:tcW w:type="dxa" w:w="2409"/>
          </w:tcPr>
          <w:p>
            <w:r>
              <w:t>社会-员工</w:t>
            </w:r>
          </w:p>
        </w:tc>
        <w:tc>
          <w:tcPr>
            <w:tcW w:type="dxa" w:w="2409"/>
          </w:tcPr>
          <w:p>
            <w:r/>
          </w:p>
        </w:tc>
      </w:tr>
      <w:tr>
        <w:tc>
          <w:tcPr>
            <w:tcW w:type="dxa" w:w="2409"/>
          </w:tcPr>
          <w:p>
            <w:r/>
          </w:p>
        </w:tc>
        <w:tc>
          <w:tcPr>
            <w:tcW w:type="dxa" w:w="2409"/>
          </w:tcPr>
          <w:p>
            <w:r>
              <w:t>GRI 404：培训与教育 2016-2.议题披露项</w:t>
            </w:r>
          </w:p>
        </w:tc>
        <w:tc>
          <w:tcPr>
            <w:tcW w:type="dxa" w:w="2409"/>
          </w:tcPr>
          <w:p>
            <w:r>
              <w:t>社会-员工</w:t>
            </w:r>
          </w:p>
        </w:tc>
        <w:tc>
          <w:tcPr>
            <w:tcW w:type="dxa" w:w="2409"/>
          </w:tcPr>
          <w:p>
            <w:r/>
          </w:p>
        </w:tc>
      </w:tr>
      <w:tr>
        <w:tc>
          <w:tcPr>
            <w:tcW w:type="dxa" w:w="2409"/>
          </w:tcPr>
          <w:p>
            <w:r/>
          </w:p>
        </w:tc>
        <w:tc>
          <w:tcPr>
            <w:tcW w:type="dxa" w:w="2409"/>
          </w:tcPr>
          <w:p>
            <w:r>
              <w:t>GRI 413：当地社区 2016</w:t>
            </w:r>
          </w:p>
        </w:tc>
        <w:tc>
          <w:tcPr>
            <w:tcW w:type="dxa" w:w="2409"/>
          </w:tcPr>
          <w:p>
            <w:r>
              <w:t>环境-污染物排放</w:t>
            </w:r>
          </w:p>
        </w:tc>
        <w:tc>
          <w:tcPr>
            <w:tcW w:type="dxa" w:w="2409"/>
          </w:tcPr>
          <w:p>
            <w:r/>
          </w:p>
        </w:tc>
      </w:tr>
      <w:tr>
        <w:tc>
          <w:tcPr>
            <w:tcW w:type="dxa" w:w="2409"/>
          </w:tcPr>
          <w:p>
            <w:r/>
          </w:p>
        </w:tc>
        <w:tc>
          <w:tcPr>
            <w:tcW w:type="dxa" w:w="2409"/>
          </w:tcPr>
          <w:p>
            <w:r>
              <w:t>GRI 413：当地社区 2016-2.议题披露项</w:t>
            </w:r>
          </w:p>
        </w:tc>
        <w:tc>
          <w:tcPr>
            <w:tcW w:type="dxa" w:w="2409"/>
          </w:tcPr>
          <w:p>
            <w:r>
              <w:t>环境-污染物排放</w:t>
            </w:r>
          </w:p>
        </w:tc>
        <w:tc>
          <w:tcPr>
            <w:tcW w:type="dxa" w:w="2409"/>
          </w:tcPr>
          <w:p>
            <w:r/>
          </w:p>
        </w:tc>
      </w:tr>
      <w:tr>
        <w:tc>
          <w:tcPr>
            <w:tcW w:type="dxa" w:w="2409"/>
          </w:tcPr>
          <w:p>
            <w:r/>
          </w:p>
        </w:tc>
        <w:tc>
          <w:tcPr>
            <w:tcW w:type="dxa" w:w="2409"/>
          </w:tcPr>
          <w:p>
            <w:r>
              <w:t>GRI 414：供应商社会评估 2016-2.议题披露项</w:t>
            </w:r>
          </w:p>
        </w:tc>
        <w:tc>
          <w:tcPr>
            <w:tcW w:type="dxa" w:w="2409"/>
          </w:tcPr>
          <w:p>
            <w:r>
              <w:t>社会-供应链安全</w:t>
            </w:r>
          </w:p>
        </w:tc>
        <w:tc>
          <w:tcPr>
            <w:tcW w:type="dxa" w:w="2409"/>
          </w:tcPr>
          <w:p>
            <w:r/>
          </w:p>
        </w:tc>
      </w:tr>
      <w:tr>
        <w:tc>
          <w:tcPr>
            <w:tcW w:type="dxa" w:w="2409"/>
          </w:tcPr>
          <w:p>
            <w:r/>
          </w:p>
        </w:tc>
        <w:tc>
          <w:tcPr>
            <w:tcW w:type="dxa" w:w="2409"/>
          </w:tcPr>
          <w:p>
            <w:r>
              <w:t>GRI 416：客户健康与安全 2016-2.议题披露项</w:t>
            </w:r>
          </w:p>
        </w:tc>
        <w:tc>
          <w:tcPr>
            <w:tcW w:type="dxa" w:w="2409"/>
          </w:tcPr>
          <w:p>
            <w:r>
              <w:t>社会-产品和服务安全与质量</w:t>
            </w:r>
          </w:p>
        </w:tc>
        <w:tc>
          <w:tcPr>
            <w:tcW w:type="dxa" w:w="2409"/>
          </w:tcPr>
          <w:p>
            <w:r/>
          </w:p>
        </w:tc>
      </w:tr>
      <w:tr>
        <w:tc>
          <w:tcPr>
            <w:tcW w:type="dxa" w:w="2409"/>
          </w:tcPr>
          <w:p>
            <w:r/>
          </w:p>
        </w:tc>
        <w:tc>
          <w:tcPr>
            <w:tcW w:type="dxa" w:w="2409"/>
          </w:tcPr>
          <w:p>
            <w:r>
              <w:t>GRI 417：营销与标识 2016-2.议题披露项</w:t>
            </w:r>
          </w:p>
        </w:tc>
        <w:tc>
          <w:tcPr>
            <w:tcW w:type="dxa" w:w="2409"/>
          </w:tcPr>
          <w:p>
            <w:r>
              <w:t>社会-产品和服务安全与质量</w:t>
            </w:r>
          </w:p>
        </w:tc>
        <w:tc>
          <w:tcPr>
            <w:tcW w:type="dxa" w:w="2409"/>
          </w:tcPr>
          <w:p>
            <w:r/>
          </w:p>
        </w:tc>
      </w:tr>
      <w:tr>
        <w:tc>
          <w:tcPr>
            <w:tcW w:type="dxa" w:w="2409"/>
          </w:tcPr>
          <w:p>
            <w:r/>
          </w:p>
        </w:tc>
        <w:tc>
          <w:tcPr>
            <w:tcW w:type="dxa" w:w="2409"/>
          </w:tcPr>
          <w:p>
            <w:r>
              <w:t>GRI 418：客户隐私 2016-2.议题披露项</w:t>
            </w:r>
          </w:p>
        </w:tc>
        <w:tc>
          <w:tcPr>
            <w:tcW w:type="dxa" w:w="2409"/>
          </w:tcPr>
          <w:p>
            <w:r>
              <w:t>社会-数据安全与客户隐私保护</w:t>
            </w:r>
          </w:p>
        </w:tc>
        <w:tc>
          <w:tcPr>
            <w:tcW w:type="dxa" w:w="2409"/>
          </w:tcPr>
          <w:p>
            <w:r/>
          </w:p>
        </w:tc>
      </w:tr>
    </w:tbl>
    <w:p>
      <w:r>
        <w:br/>
      </w:r>
    </w:p>
    <w:p>
      <w:r>
        <w:t>IFRS S1</w:t>
      </w:r>
    </w:p>
    <w:tbl>
      <w:tblPr>
        <w:tblStyle w:val="TableGrid"/>
        <w:tblW w:type="auto" w:w="0"/>
        <w:tblLook w:firstColumn="1" w:firstRow="1" w:lastColumn="0" w:lastRow="0" w:noHBand="0" w:noVBand="1" w:val="04A0"/>
      </w:tblPr>
      <w:tblGrid>
        <w:gridCol w:w="2409"/>
        <w:gridCol w:w="2409"/>
        <w:gridCol w:w="2409"/>
        <w:gridCol w:w="2409"/>
      </w:tblGrid>
      <w:tr>
        <w:tc>
          <w:tcPr>
            <w:tcW w:type="dxa" w:w="2409"/>
            <w:shd w:fill="f5f2f0"/>
          </w:tcPr>
          <w:p>
            <w:r>
              <w:t>披露项编号</w:t>
            </w:r>
          </w:p>
        </w:tc>
        <w:tc>
          <w:tcPr>
            <w:tcW w:type="dxa" w:w="2409"/>
            <w:shd w:fill="f5f2f0"/>
          </w:tcPr>
          <w:p>
            <w:r>
              <w:t>披露议题</w:t>
            </w:r>
          </w:p>
        </w:tc>
        <w:tc>
          <w:tcPr>
            <w:tcW w:type="dxa" w:w="2409"/>
            <w:shd w:fill="f5f2f0"/>
          </w:tcPr>
          <w:p>
            <w:r>
              <w:t>对应章节</w:t>
            </w:r>
          </w:p>
        </w:tc>
        <w:tc>
          <w:tcPr>
            <w:tcW w:type="dxa" w:w="2409"/>
            <w:shd w:fill="f5f2f0"/>
          </w:tcPr>
          <w:p>
            <w:r>
              <w:t>对应页码</w:t>
            </w:r>
          </w:p>
        </w:tc>
      </w:tr>
      <w:tr>
        <w:tc>
          <w:tcPr>
            <w:tcW w:type="dxa" w:w="2409"/>
          </w:tcPr>
          <w:p>
            <w:r/>
          </w:p>
        </w:tc>
        <w:tc>
          <w:tcPr>
            <w:tcW w:type="dxa" w:w="2409"/>
          </w:tcPr>
          <w:p>
            <w:r>
              <w:t>概念基础-公正陈述</w:t>
            </w:r>
          </w:p>
        </w:tc>
        <w:tc>
          <w:tcPr>
            <w:tcW w:type="dxa" w:w="2409"/>
          </w:tcPr>
          <w:p>
            <w:r>
              <w:t>关于报告-可靠性</w:t>
            </w:r>
          </w:p>
        </w:tc>
        <w:tc>
          <w:tcPr>
            <w:tcW w:type="dxa" w:w="2409"/>
          </w:tcPr>
          <w:p>
            <w:r/>
          </w:p>
        </w:tc>
      </w:tr>
      <w:tr>
        <w:tc>
          <w:tcPr>
            <w:tcW w:type="dxa" w:w="2409"/>
          </w:tcPr>
          <w:p>
            <w:r/>
          </w:p>
        </w:tc>
        <w:tc>
          <w:tcPr>
            <w:tcW w:type="dxa" w:w="2409"/>
          </w:tcPr>
          <w:p>
            <w:r>
              <w:t>概念基础-报告实体</w:t>
            </w:r>
          </w:p>
        </w:tc>
        <w:tc>
          <w:tcPr>
            <w:tcW w:type="dxa" w:w="2409"/>
          </w:tcPr>
          <w:p>
            <w:r>
              <w:t>关于报告-报告范围与边界</w:t>
            </w:r>
          </w:p>
        </w:tc>
        <w:tc>
          <w:tcPr>
            <w:tcW w:type="dxa" w:w="2409"/>
          </w:tcPr>
          <w:p>
            <w:r/>
          </w:p>
        </w:tc>
      </w:tr>
      <w:tr>
        <w:tc>
          <w:tcPr>
            <w:tcW w:type="dxa" w:w="2409"/>
          </w:tcPr>
          <w:p>
            <w:r/>
          </w:p>
        </w:tc>
        <w:tc>
          <w:tcPr>
            <w:tcW w:type="dxa" w:w="2409"/>
          </w:tcPr>
          <w:p>
            <w:r>
              <w:t>概念基础-报告实体</w:t>
            </w:r>
          </w:p>
        </w:tc>
        <w:tc>
          <w:tcPr>
            <w:tcW w:type="dxa" w:w="2409"/>
          </w:tcPr>
          <w:p>
            <w:r>
              <w:t>关于报告-报告时间范围</w:t>
            </w:r>
          </w:p>
        </w:tc>
        <w:tc>
          <w:tcPr>
            <w:tcW w:type="dxa" w:w="2409"/>
          </w:tcPr>
          <w:p>
            <w:r/>
          </w:p>
        </w:tc>
      </w:tr>
      <w:tr>
        <w:tc>
          <w:tcPr>
            <w:tcW w:type="dxa" w:w="2409"/>
          </w:tcPr>
          <w:p>
            <w:r/>
          </w:p>
        </w:tc>
        <w:tc>
          <w:tcPr>
            <w:tcW w:type="dxa" w:w="2409"/>
          </w:tcPr>
          <w:p>
            <w:r>
              <w:t>概念基础-报告实体</w:t>
            </w:r>
          </w:p>
        </w:tc>
        <w:tc>
          <w:tcPr>
            <w:tcW w:type="dxa" w:w="2409"/>
          </w:tcPr>
          <w:p>
            <w:r>
              <w:t>关于报告-可靠性</w:t>
            </w:r>
          </w:p>
        </w:tc>
        <w:tc>
          <w:tcPr>
            <w:tcW w:type="dxa" w:w="2409"/>
          </w:tcPr>
          <w:p>
            <w:r/>
          </w:p>
        </w:tc>
      </w:tr>
      <w:tr>
        <w:tc>
          <w:tcPr>
            <w:tcW w:type="dxa" w:w="2409"/>
          </w:tcPr>
          <w:p>
            <w:r/>
          </w:p>
        </w:tc>
        <w:tc>
          <w:tcPr>
            <w:tcW w:type="dxa" w:w="2409"/>
          </w:tcPr>
          <w:p>
            <w:r>
              <w:t>核心内容-25. 除非另有国际财务报告准则可持续披露标准在特定情况下允许或要求不同，否则，一个实体应当提供关于以下内容的披露：</w:t>
            </w:r>
          </w:p>
        </w:tc>
        <w:tc>
          <w:tcPr>
            <w:tcW w:type="dxa" w:w="2409"/>
          </w:tcPr>
          <w:p>
            <w:r>
              <w:t>可持续发展管理</w:t>
            </w:r>
          </w:p>
        </w:tc>
        <w:tc>
          <w:tcPr>
            <w:tcW w:type="dxa" w:w="2409"/>
          </w:tcPr>
          <w:p>
            <w:r/>
          </w:p>
        </w:tc>
      </w:tr>
      <w:tr>
        <w:tc>
          <w:tcPr>
            <w:tcW w:type="dxa" w:w="2409"/>
          </w:tcPr>
          <w:p>
            <w:r/>
          </w:p>
        </w:tc>
        <w:tc>
          <w:tcPr>
            <w:tcW w:type="dxa" w:w="2409"/>
          </w:tcPr>
          <w:p>
            <w:r>
              <w:t>核心内容-25. 除非另有国际财务报告准则可持续披露标准在特定情况下允许或要求不同，否则，一个实体应当提供关于以下内容的披露：</w:t>
            </w:r>
          </w:p>
        </w:tc>
        <w:tc>
          <w:tcPr>
            <w:tcW w:type="dxa" w:w="2409"/>
          </w:tcPr>
          <w:p>
            <w:r>
              <w:t>可持续发展管理-治理结构</w:t>
            </w:r>
          </w:p>
        </w:tc>
        <w:tc>
          <w:tcPr>
            <w:tcW w:type="dxa" w:w="2409"/>
          </w:tcPr>
          <w:p>
            <w:r/>
          </w:p>
        </w:tc>
      </w:tr>
      <w:tr>
        <w:tc>
          <w:tcPr>
            <w:tcW w:type="dxa" w:w="2409"/>
          </w:tcPr>
          <w:p>
            <w:r/>
          </w:p>
        </w:tc>
        <w:tc>
          <w:tcPr>
            <w:tcW w:type="dxa" w:w="2409"/>
          </w:tcPr>
          <w:p>
            <w:r>
              <w:t>核心内容-治理</w:t>
            </w:r>
          </w:p>
        </w:tc>
        <w:tc>
          <w:tcPr>
            <w:tcW w:type="dxa" w:w="2409"/>
          </w:tcPr>
          <w:p>
            <w:r>
              <w:t>可持续发展管理-治理结构</w:t>
            </w:r>
          </w:p>
        </w:tc>
        <w:tc>
          <w:tcPr>
            <w:tcW w:type="dxa" w:w="2409"/>
          </w:tcPr>
          <w:p>
            <w:r/>
          </w:p>
        </w:tc>
      </w:tr>
      <w:tr>
        <w:tc>
          <w:tcPr>
            <w:tcW w:type="dxa" w:w="2409"/>
          </w:tcPr>
          <w:p>
            <w:r/>
          </w:p>
        </w:tc>
        <w:tc>
          <w:tcPr>
            <w:tcW w:type="dxa" w:w="2409"/>
          </w:tcPr>
          <w:p>
            <w:r>
              <w:t>核心内容-策略</w:t>
            </w:r>
          </w:p>
        </w:tc>
        <w:tc>
          <w:tcPr>
            <w:tcW w:type="dxa" w:w="2409"/>
          </w:tcPr>
          <w:p>
            <w:r>
              <w:t>可持续发展管理-风险与机遇识别</w:t>
            </w:r>
          </w:p>
        </w:tc>
        <w:tc>
          <w:tcPr>
            <w:tcW w:type="dxa" w:w="2409"/>
          </w:tcPr>
          <w:p>
            <w:r/>
          </w:p>
        </w:tc>
      </w:tr>
      <w:tr>
        <w:tc>
          <w:tcPr>
            <w:tcW w:type="dxa" w:w="2409"/>
          </w:tcPr>
          <w:p>
            <w:r/>
          </w:p>
        </w:tc>
        <w:tc>
          <w:tcPr>
            <w:tcW w:type="dxa" w:w="2409"/>
          </w:tcPr>
          <w:p>
            <w:r>
              <w:t>核心内容-策略</w:t>
            </w:r>
          </w:p>
        </w:tc>
        <w:tc>
          <w:tcPr>
            <w:tcW w:type="dxa" w:w="2409"/>
          </w:tcPr>
          <w:p>
            <w:r>
              <w:t>可持续发展管理-战略与决策应对</w:t>
            </w:r>
          </w:p>
        </w:tc>
        <w:tc>
          <w:tcPr>
            <w:tcW w:type="dxa" w:w="2409"/>
          </w:tcPr>
          <w:p>
            <w:r/>
          </w:p>
        </w:tc>
      </w:tr>
      <w:tr>
        <w:tc>
          <w:tcPr>
            <w:tcW w:type="dxa" w:w="2409"/>
          </w:tcPr>
          <w:p>
            <w:r/>
          </w:p>
        </w:tc>
        <w:tc>
          <w:tcPr>
            <w:tcW w:type="dxa" w:w="2409"/>
          </w:tcPr>
          <w:p>
            <w:r>
              <w:t>核心内容-策略</w:t>
            </w:r>
          </w:p>
        </w:tc>
        <w:tc>
          <w:tcPr>
            <w:tcW w:type="dxa" w:w="2409"/>
          </w:tcPr>
          <w:p>
            <w:r>
              <w:t>可持续发展管理-财务影响</w:t>
            </w:r>
          </w:p>
        </w:tc>
        <w:tc>
          <w:tcPr>
            <w:tcW w:type="dxa" w:w="2409"/>
          </w:tcPr>
          <w:p>
            <w:r/>
          </w:p>
        </w:tc>
      </w:tr>
      <w:tr>
        <w:tc>
          <w:tcPr>
            <w:tcW w:type="dxa" w:w="2409"/>
          </w:tcPr>
          <w:p>
            <w:r/>
          </w:p>
        </w:tc>
        <w:tc>
          <w:tcPr>
            <w:tcW w:type="dxa" w:w="2409"/>
          </w:tcPr>
          <w:p>
            <w:r>
              <w:t>核心内容-策略</w:t>
            </w:r>
          </w:p>
        </w:tc>
        <w:tc>
          <w:tcPr>
            <w:tcW w:type="dxa" w:w="2409"/>
          </w:tcPr>
          <w:p>
            <w:r>
              <w:t>可持续发展管理-战略适应</w:t>
            </w:r>
          </w:p>
        </w:tc>
        <w:tc>
          <w:tcPr>
            <w:tcW w:type="dxa" w:w="2409"/>
          </w:tcPr>
          <w:p>
            <w:r/>
          </w:p>
        </w:tc>
      </w:tr>
      <w:tr>
        <w:tc>
          <w:tcPr>
            <w:tcW w:type="dxa" w:w="2409"/>
          </w:tcPr>
          <w:p>
            <w:r/>
          </w:p>
        </w:tc>
        <w:tc>
          <w:tcPr>
            <w:tcW w:type="dxa" w:w="2409"/>
          </w:tcPr>
          <w:p>
            <w:r>
              <w:t>核心内容-风险管理</w:t>
            </w:r>
          </w:p>
        </w:tc>
        <w:tc>
          <w:tcPr>
            <w:tcW w:type="dxa" w:w="2409"/>
          </w:tcPr>
          <w:p>
            <w:r>
              <w:t>可持续发展管理-风险机遇影响等应对流程</w:t>
            </w:r>
          </w:p>
        </w:tc>
        <w:tc>
          <w:tcPr>
            <w:tcW w:type="dxa" w:w="2409"/>
          </w:tcPr>
          <w:p>
            <w:r/>
          </w:p>
        </w:tc>
      </w:tr>
      <w:tr>
        <w:tc>
          <w:tcPr>
            <w:tcW w:type="dxa" w:w="2409"/>
          </w:tcPr>
          <w:p>
            <w:r/>
          </w:p>
        </w:tc>
        <w:tc>
          <w:tcPr>
            <w:tcW w:type="dxa" w:w="2409"/>
          </w:tcPr>
          <w:p>
            <w:r>
              <w:t>核心内容-指标与目标</w:t>
            </w:r>
          </w:p>
        </w:tc>
        <w:tc>
          <w:tcPr>
            <w:tcW w:type="dxa" w:w="2409"/>
          </w:tcPr>
          <w:p>
            <w:r>
              <w:t>可持续发展管理-目标与指标披露管理流程</w:t>
            </w:r>
          </w:p>
        </w:tc>
        <w:tc>
          <w:tcPr>
            <w:tcW w:type="dxa" w:w="2409"/>
          </w:tcPr>
          <w:p>
            <w:r/>
          </w:p>
        </w:tc>
      </w:tr>
      <w:tr>
        <w:tc>
          <w:tcPr>
            <w:tcW w:type="dxa" w:w="2409"/>
          </w:tcPr>
          <w:p>
            <w:r/>
          </w:p>
        </w:tc>
        <w:tc>
          <w:tcPr>
            <w:tcW w:type="dxa" w:w="2409"/>
          </w:tcPr>
          <w:p>
            <w:r>
              <w:t>一般要求-关于报告的时间安排</w:t>
            </w:r>
          </w:p>
        </w:tc>
        <w:tc>
          <w:tcPr>
            <w:tcW w:type="dxa" w:w="2409"/>
          </w:tcPr>
          <w:p>
            <w:r>
              <w:t>关于报告-报告范围与边界</w:t>
            </w:r>
          </w:p>
        </w:tc>
        <w:tc>
          <w:tcPr>
            <w:tcW w:type="dxa" w:w="2409"/>
          </w:tcPr>
          <w:p>
            <w:r/>
          </w:p>
        </w:tc>
      </w:tr>
      <w:tr>
        <w:tc>
          <w:tcPr>
            <w:tcW w:type="dxa" w:w="2409"/>
          </w:tcPr>
          <w:p>
            <w:r/>
          </w:p>
        </w:tc>
        <w:tc>
          <w:tcPr>
            <w:tcW w:type="dxa" w:w="2409"/>
          </w:tcPr>
          <w:p>
            <w:r>
              <w:t>一般要求-关于报告的时间安排</w:t>
            </w:r>
          </w:p>
        </w:tc>
        <w:tc>
          <w:tcPr>
            <w:tcW w:type="dxa" w:w="2409"/>
          </w:tcPr>
          <w:p>
            <w:r>
              <w:t>关于报告-报告时间范围</w:t>
            </w:r>
          </w:p>
        </w:tc>
        <w:tc>
          <w:tcPr>
            <w:tcW w:type="dxa" w:w="2409"/>
          </w:tcPr>
          <w:p>
            <w:r/>
          </w:p>
        </w:tc>
      </w:tr>
      <w:tr>
        <w:tc>
          <w:tcPr>
            <w:tcW w:type="dxa" w:w="2409"/>
          </w:tcPr>
          <w:p>
            <w:r/>
          </w:p>
        </w:tc>
        <w:tc>
          <w:tcPr>
            <w:tcW w:type="dxa" w:w="2409"/>
          </w:tcPr>
          <w:p>
            <w:r>
              <w:t>一般要求-关于报告的时间安排</w:t>
            </w:r>
          </w:p>
        </w:tc>
        <w:tc>
          <w:tcPr>
            <w:tcW w:type="dxa" w:w="2409"/>
          </w:tcPr>
          <w:p>
            <w:r>
              <w:t>关于报告-可靠性</w:t>
            </w:r>
          </w:p>
        </w:tc>
        <w:tc>
          <w:tcPr>
            <w:tcW w:type="dxa" w:w="2409"/>
          </w:tcPr>
          <w:p>
            <w:r/>
          </w:p>
        </w:tc>
      </w:tr>
    </w:tbl>
    <w:p>
      <w:r>
        <w:br/>
      </w:r>
    </w:p>
    <w:p>
      <w:r>
        <w:t>IFRS S2</w:t>
      </w:r>
    </w:p>
    <w:tbl>
      <w:tblPr>
        <w:tblStyle w:val="TableGrid"/>
        <w:tblW w:type="auto" w:w="0"/>
        <w:tblLook w:firstColumn="1" w:firstRow="1" w:lastColumn="0" w:lastRow="0" w:noHBand="0" w:noVBand="1" w:val="04A0"/>
      </w:tblPr>
      <w:tblGrid>
        <w:gridCol w:w="2409"/>
        <w:gridCol w:w="2409"/>
        <w:gridCol w:w="2409"/>
        <w:gridCol w:w="2409"/>
      </w:tblGrid>
      <w:tr>
        <w:tc>
          <w:tcPr>
            <w:tcW w:type="dxa" w:w="2409"/>
            <w:shd w:fill="f5f2f0"/>
          </w:tcPr>
          <w:p>
            <w:r>
              <w:t>披露项编号</w:t>
            </w:r>
          </w:p>
        </w:tc>
        <w:tc>
          <w:tcPr>
            <w:tcW w:type="dxa" w:w="2409"/>
            <w:shd w:fill="f5f2f0"/>
          </w:tcPr>
          <w:p>
            <w:r>
              <w:t>披露议题</w:t>
            </w:r>
          </w:p>
        </w:tc>
        <w:tc>
          <w:tcPr>
            <w:tcW w:type="dxa" w:w="2409"/>
            <w:shd w:fill="f5f2f0"/>
          </w:tcPr>
          <w:p>
            <w:r>
              <w:t>对应章节</w:t>
            </w:r>
          </w:p>
        </w:tc>
        <w:tc>
          <w:tcPr>
            <w:tcW w:type="dxa" w:w="2409"/>
            <w:shd w:fill="f5f2f0"/>
          </w:tcPr>
          <w:p>
            <w:r>
              <w:t>对应页码</w:t>
            </w:r>
          </w:p>
        </w:tc>
      </w:tr>
      <w:tr>
        <w:tc>
          <w:tcPr>
            <w:tcW w:type="dxa" w:w="2409"/>
          </w:tcPr>
          <w:p>
            <w:r/>
          </w:p>
        </w:tc>
        <w:tc>
          <w:tcPr>
            <w:tcW w:type="dxa" w:w="2409"/>
          </w:tcPr>
          <w:p>
            <w:r>
              <w:t>核心内容-策略</w:t>
            </w:r>
          </w:p>
        </w:tc>
        <w:tc>
          <w:tcPr>
            <w:tcW w:type="dxa" w:w="2409"/>
          </w:tcPr>
          <w:p>
            <w:r>
              <w:t>环境-应对气候变化</w:t>
            </w:r>
          </w:p>
        </w:tc>
        <w:tc>
          <w:tcPr>
            <w:tcW w:type="dxa" w:w="2409"/>
          </w:tcPr>
          <w:p>
            <w:r/>
          </w:p>
        </w:tc>
      </w:tr>
      <w:tr>
        <w:tc>
          <w:tcPr>
            <w:tcW w:type="dxa" w:w="2409"/>
          </w:tcPr>
          <w:p>
            <w:r/>
          </w:p>
        </w:tc>
        <w:tc>
          <w:tcPr>
            <w:tcW w:type="dxa" w:w="2409"/>
          </w:tcPr>
          <w:p>
            <w:r>
              <w:t>核心内容-指标与目标</w:t>
            </w:r>
          </w:p>
        </w:tc>
        <w:tc>
          <w:tcPr>
            <w:tcW w:type="dxa" w:w="2409"/>
          </w:tcPr>
          <w:p>
            <w:r>
              <w:t>环境-应对气候变化</w:t>
            </w:r>
          </w:p>
        </w:tc>
        <w:tc>
          <w:tcPr>
            <w:tcW w:type="dxa" w:w="2409"/>
          </w:tcPr>
          <w:p>
            <w:r/>
          </w:p>
        </w:tc>
      </w:tr>
    </w:tbl>
    <w:p>
      <w:r>
        <w:br/>
      </w:r>
    </w:p>
    <w:p>
      <w:r>
        <w:t>A股上市公司可持续发展报告披露指引</w:t>
      </w:r>
    </w:p>
    <w:tbl>
      <w:tblPr>
        <w:tblStyle w:val="TableGrid"/>
        <w:tblW w:type="auto" w:w="0"/>
        <w:tblLook w:firstColumn="1" w:firstRow="1" w:lastColumn="0" w:lastRow="0" w:noHBand="0" w:noVBand="1" w:val="04A0"/>
      </w:tblPr>
      <w:tblGrid>
        <w:gridCol w:w="2409"/>
        <w:gridCol w:w="2409"/>
        <w:gridCol w:w="2409"/>
        <w:gridCol w:w="2409"/>
      </w:tblGrid>
      <w:tr>
        <w:tc>
          <w:tcPr>
            <w:tcW w:type="dxa" w:w="2409"/>
            <w:shd w:fill="f5f2f0"/>
          </w:tcPr>
          <w:p>
            <w:r>
              <w:t>披露项编号</w:t>
            </w:r>
          </w:p>
        </w:tc>
        <w:tc>
          <w:tcPr>
            <w:tcW w:type="dxa" w:w="2409"/>
            <w:shd w:fill="f5f2f0"/>
          </w:tcPr>
          <w:p>
            <w:r>
              <w:t>披露议题</w:t>
            </w:r>
          </w:p>
        </w:tc>
        <w:tc>
          <w:tcPr>
            <w:tcW w:type="dxa" w:w="2409"/>
            <w:shd w:fill="f5f2f0"/>
          </w:tcPr>
          <w:p>
            <w:r>
              <w:t>对应章节</w:t>
            </w:r>
          </w:p>
        </w:tc>
        <w:tc>
          <w:tcPr>
            <w:tcW w:type="dxa" w:w="2409"/>
            <w:shd w:fill="f5f2f0"/>
          </w:tcPr>
          <w:p>
            <w:r>
              <w:t>对应页码</w:t>
            </w:r>
          </w:p>
        </w:tc>
      </w:tr>
      <w:tr>
        <w:tc>
          <w:tcPr>
            <w:tcW w:type="dxa" w:w="2409"/>
          </w:tcPr>
          <w:p>
            <w:r/>
          </w:p>
        </w:tc>
        <w:tc>
          <w:tcPr>
            <w:tcW w:type="dxa" w:w="2409"/>
          </w:tcPr>
          <w:p>
            <w:r>
              <w:t>第一章 总 则-第四条 披露主体应当在每个会计年度结束后4个月内按照本指引编制《可持续发展报告》，经董事会审议通过后披露，披露时间应当不早于年度报告。</w:t>
              <w:br/>
              <w:t>《可持续发展报告》的报告主体和报告期间应当与年度报告保持一致。</w:t>
            </w:r>
          </w:p>
        </w:tc>
        <w:tc>
          <w:tcPr>
            <w:tcW w:type="dxa" w:w="2409"/>
          </w:tcPr>
          <w:p>
            <w:r>
              <w:t>关于报告-报告范围与边界</w:t>
            </w:r>
          </w:p>
        </w:tc>
        <w:tc>
          <w:tcPr>
            <w:tcW w:type="dxa" w:w="2409"/>
          </w:tcPr>
          <w:p>
            <w:r/>
          </w:p>
        </w:tc>
      </w:tr>
      <w:tr>
        <w:tc>
          <w:tcPr>
            <w:tcW w:type="dxa" w:w="2409"/>
          </w:tcPr>
          <w:p>
            <w:r/>
          </w:p>
        </w:tc>
        <w:tc>
          <w:tcPr>
            <w:tcW w:type="dxa" w:w="2409"/>
          </w:tcPr>
          <w:p>
            <w:r>
              <w:t>第一章 总 则-第四条 披露主体应当在每个会计年度结束后4个月内按照本指引编制《可持续发展报告》，经董事会审议通过后披露，披露时间应当不早于年度报告。</w:t>
              <w:br/>
              <w:t>《可持续发展报告》的报告主体和报告期间应当与年度报告保持一致。</w:t>
            </w:r>
          </w:p>
        </w:tc>
        <w:tc>
          <w:tcPr>
            <w:tcW w:type="dxa" w:w="2409"/>
          </w:tcPr>
          <w:p>
            <w:r>
              <w:t>关于报告-报告时间范围</w:t>
            </w:r>
          </w:p>
        </w:tc>
        <w:tc>
          <w:tcPr>
            <w:tcW w:type="dxa" w:w="2409"/>
          </w:tcPr>
          <w:p>
            <w:r/>
          </w:p>
        </w:tc>
      </w:tr>
      <w:tr>
        <w:tc>
          <w:tcPr>
            <w:tcW w:type="dxa" w:w="2409"/>
          </w:tcPr>
          <w:p>
            <w:r/>
          </w:p>
        </w:tc>
        <w:tc>
          <w:tcPr>
            <w:tcW w:type="dxa" w:w="2409"/>
          </w:tcPr>
          <w:p>
            <w:r>
              <w:t>第一章 总 则-第四条 披露主体应当在每个会计年度结束后4个月内按照本指引编制《可持续发展报告》，经董事会审议通过后披露，披露时间应当不早于年度报告。</w:t>
              <w:br/>
              <w:t>《可持续发展报告》的报告主体和报告期间应当与年度报告保持一致。</w:t>
            </w:r>
          </w:p>
        </w:tc>
        <w:tc>
          <w:tcPr>
            <w:tcW w:type="dxa" w:w="2409"/>
          </w:tcPr>
          <w:p>
            <w:r>
              <w:t>关于报告-可靠性</w:t>
            </w:r>
          </w:p>
        </w:tc>
        <w:tc>
          <w:tcPr>
            <w:tcW w:type="dxa" w:w="2409"/>
          </w:tcPr>
          <w:p>
            <w:r/>
          </w:p>
        </w:tc>
      </w:tr>
      <w:tr>
        <w:tc>
          <w:tcPr>
            <w:tcW w:type="dxa" w:w="2409"/>
          </w:tcPr>
          <w:p>
            <w:r/>
          </w:p>
        </w:tc>
        <w:tc>
          <w:tcPr>
            <w:tcW w:type="dxa" w:w="2409"/>
          </w:tcPr>
          <w:p>
            <w:r>
              <w:t>第一章 总 则-第六条 披露主体披露的可持续发展相关信息应当客观、真实地反映披露主体在可持续发展方面的表现，不得进行选择性披露，不得与依法披露的信息相冲突，不得误导投资者及其他利益相关方，并应当符合下列要求：</w:t>
            </w:r>
          </w:p>
        </w:tc>
        <w:tc>
          <w:tcPr>
            <w:tcW w:type="dxa" w:w="2409"/>
          </w:tcPr>
          <w:p>
            <w:r>
              <w:t>关于报告-可靠性</w:t>
            </w:r>
          </w:p>
        </w:tc>
        <w:tc>
          <w:tcPr>
            <w:tcW w:type="dxa" w:w="2409"/>
          </w:tcPr>
          <w:p>
            <w:r/>
          </w:p>
        </w:tc>
      </w:tr>
      <w:tr>
        <w:tc>
          <w:tcPr>
            <w:tcW w:type="dxa" w:w="2409"/>
          </w:tcPr>
          <w:p>
            <w:r/>
          </w:p>
        </w:tc>
        <w:tc>
          <w:tcPr>
            <w:tcW w:type="dxa" w:w="2409"/>
          </w:tcPr>
          <w:p>
            <w:r>
              <w:t>第二章 可持续发展信息披露框架-第十一条 本指引设置的议题以及披露主体根据本指引第五条第三款识别的议题，对披露主体具有财务重要性的，披露主体应当围绕下列四个方面核心内容以及本指引对有关具体议题的规定进行分析和披露：</w:t>
            </w:r>
          </w:p>
        </w:tc>
        <w:tc>
          <w:tcPr>
            <w:tcW w:type="dxa" w:w="2409"/>
          </w:tcPr>
          <w:p>
            <w:r>
              <w:t>可持续发展管理</w:t>
            </w:r>
          </w:p>
        </w:tc>
        <w:tc>
          <w:tcPr>
            <w:tcW w:type="dxa" w:w="2409"/>
          </w:tcPr>
          <w:p>
            <w:r/>
          </w:p>
        </w:tc>
      </w:tr>
      <w:tr>
        <w:tc>
          <w:tcPr>
            <w:tcW w:type="dxa" w:w="2409"/>
          </w:tcPr>
          <w:p>
            <w:r/>
          </w:p>
        </w:tc>
        <w:tc>
          <w:tcPr>
            <w:tcW w:type="dxa" w:w="2409"/>
          </w:tcPr>
          <w:p>
            <w:r>
              <w:t>第二章 可持续发展信息披露框架-第十二条 披露主体应当建立健全公司治理结构和内部制度，确保公司相关内部机构具备足够的专业能力并有效履行可持续发展相关影响、风险和机遇的识别、评估、管理、监督等职能。披露主体应当披露下列治理相关信息：</w:t>
            </w:r>
          </w:p>
        </w:tc>
        <w:tc>
          <w:tcPr>
            <w:tcW w:type="dxa" w:w="2409"/>
          </w:tcPr>
          <w:p>
            <w:r>
              <w:t>可持续发展管理-治理结构</w:t>
            </w:r>
          </w:p>
        </w:tc>
        <w:tc>
          <w:tcPr>
            <w:tcW w:type="dxa" w:w="2409"/>
          </w:tcPr>
          <w:p>
            <w:r/>
          </w:p>
        </w:tc>
      </w:tr>
      <w:tr>
        <w:tc>
          <w:tcPr>
            <w:tcW w:type="dxa" w:w="2409"/>
          </w:tcPr>
          <w:p>
            <w:r/>
          </w:p>
        </w:tc>
        <w:tc>
          <w:tcPr>
            <w:tcW w:type="dxa" w:w="2409"/>
          </w:tcPr>
          <w:p>
            <w:r>
              <w:t>第二章 可持续发展信息披露框架-第十三条 披露主体应当按照本指引第十四条至第十七条的规定，分析和披露应对可持续发展相关影响、风险和机遇的相关战略。</w:t>
            </w:r>
          </w:p>
        </w:tc>
        <w:tc>
          <w:tcPr>
            <w:tcW w:type="dxa" w:w="2409"/>
          </w:tcPr>
          <w:p>
            <w:r>
              <w:t>可持续发展管理-战略与决策应对</w:t>
            </w:r>
          </w:p>
        </w:tc>
        <w:tc>
          <w:tcPr>
            <w:tcW w:type="dxa" w:w="2409"/>
          </w:tcPr>
          <w:p>
            <w:r/>
          </w:p>
        </w:tc>
      </w:tr>
      <w:tr>
        <w:tc>
          <w:tcPr>
            <w:tcW w:type="dxa" w:w="2409"/>
          </w:tcPr>
          <w:p>
            <w:r/>
          </w:p>
        </w:tc>
        <w:tc>
          <w:tcPr>
            <w:tcW w:type="dxa" w:w="2409"/>
          </w:tcPr>
          <w:p>
            <w:r>
              <w:t>第二章 可持续发展信息披露框架-第十四条 披露主体应当识别并充分评估可能在短期、中期或长期内对公司商业模式、业务运营、发展战略、财务状况、经营成果、现金流、融资方式及成本等产生重大影响的可持续发展相关风险和机遇，并披露下列内容：</w:t>
            </w:r>
          </w:p>
        </w:tc>
        <w:tc>
          <w:tcPr>
            <w:tcW w:type="dxa" w:w="2409"/>
          </w:tcPr>
          <w:p>
            <w:r>
              <w:t>可持续发展管理-风险与机遇识别</w:t>
            </w:r>
          </w:p>
        </w:tc>
        <w:tc>
          <w:tcPr>
            <w:tcW w:type="dxa" w:w="2409"/>
          </w:tcPr>
          <w:p>
            <w:r/>
          </w:p>
        </w:tc>
      </w:tr>
      <w:tr>
        <w:tc>
          <w:tcPr>
            <w:tcW w:type="dxa" w:w="2409"/>
          </w:tcPr>
          <w:p>
            <w:r/>
          </w:p>
        </w:tc>
        <w:tc>
          <w:tcPr>
            <w:tcW w:type="dxa" w:w="2409"/>
          </w:tcPr>
          <w:p>
            <w:r>
              <w:t>第二章 可持续发展信息披露框架-第十五条 披露主体应当披露可持续发展相关影响、风险和机遇对公司战略和决策的影响，包括但不限于下列内容：</w:t>
            </w:r>
          </w:p>
        </w:tc>
        <w:tc>
          <w:tcPr>
            <w:tcW w:type="dxa" w:w="2409"/>
          </w:tcPr>
          <w:p>
            <w:r>
              <w:t>可持续发展管理-战略与决策应对</w:t>
            </w:r>
          </w:p>
        </w:tc>
        <w:tc>
          <w:tcPr>
            <w:tcW w:type="dxa" w:w="2409"/>
          </w:tcPr>
          <w:p>
            <w:r/>
          </w:p>
        </w:tc>
      </w:tr>
      <w:tr>
        <w:tc>
          <w:tcPr>
            <w:tcW w:type="dxa" w:w="2409"/>
          </w:tcPr>
          <w:p>
            <w:r/>
          </w:p>
        </w:tc>
        <w:tc>
          <w:tcPr>
            <w:tcW w:type="dxa" w:w="2409"/>
          </w:tcPr>
          <w:p>
            <w:r>
              <w:t>第二章 可持续发展信息披露框架-第十六条 披露主体应当分析并披露可持续发展相关风险和机遇对公司当期财务状况、经营成果、现金流的影响，以及相关风险和机遇是否会对公司下一年度财务状况、经营成果、现金流产生重大影响。</w:t>
              <w:br/>
              <w:t>本所鼓励披露主体披露可持续发展相关风险和机遇对公司财务状况、经营成果、现金流在短期、中期和长期内的影响，包括但不限于下列定性和定量信息：</w:t>
            </w:r>
          </w:p>
        </w:tc>
        <w:tc>
          <w:tcPr>
            <w:tcW w:type="dxa" w:w="2409"/>
          </w:tcPr>
          <w:p>
            <w:r>
              <w:t>可持续发展管理-财务影响</w:t>
            </w:r>
          </w:p>
        </w:tc>
        <w:tc>
          <w:tcPr>
            <w:tcW w:type="dxa" w:w="2409"/>
          </w:tcPr>
          <w:p>
            <w:r/>
          </w:p>
        </w:tc>
      </w:tr>
      <w:tr>
        <w:tc>
          <w:tcPr>
            <w:tcW w:type="dxa" w:w="2409"/>
          </w:tcPr>
          <w:p>
            <w:r/>
          </w:p>
        </w:tc>
        <w:tc>
          <w:tcPr>
            <w:tcW w:type="dxa" w:w="2409"/>
          </w:tcPr>
          <w:p>
            <w:r>
              <w:t>第二章 可持续发展信息披露框架-第十七条 本所鼓励披露主体评估并披露公司的战略及商业模式对可持续发展相关风险的适应性，包括评估方式、时间范围、评估结果等。</w:t>
            </w:r>
          </w:p>
        </w:tc>
        <w:tc>
          <w:tcPr>
            <w:tcW w:type="dxa" w:w="2409"/>
          </w:tcPr>
          <w:p>
            <w:r>
              <w:t>可持续发展管理-战略适应</w:t>
            </w:r>
          </w:p>
        </w:tc>
        <w:tc>
          <w:tcPr>
            <w:tcW w:type="dxa" w:w="2409"/>
          </w:tcPr>
          <w:p>
            <w:r/>
          </w:p>
        </w:tc>
      </w:tr>
      <w:tr>
        <w:tc>
          <w:tcPr>
            <w:tcW w:type="dxa" w:w="2409"/>
          </w:tcPr>
          <w:p>
            <w:r/>
          </w:p>
        </w:tc>
        <w:tc>
          <w:tcPr>
            <w:tcW w:type="dxa" w:w="2409"/>
          </w:tcPr>
          <w:p>
            <w:r>
              <w:t>第二章 可持续发展信息披露框架-第十八条 披露主体应当披露用于识别、评估及管理可持续发展相关影响、风险和机遇的流程，包括但不限于下列内容：</w:t>
            </w:r>
          </w:p>
        </w:tc>
        <w:tc>
          <w:tcPr>
            <w:tcW w:type="dxa" w:w="2409"/>
          </w:tcPr>
          <w:p>
            <w:r>
              <w:t>可持续发展管理-风险机遇影响等应对流程</w:t>
            </w:r>
          </w:p>
        </w:tc>
        <w:tc>
          <w:tcPr>
            <w:tcW w:type="dxa" w:w="2409"/>
          </w:tcPr>
          <w:p>
            <w:r/>
          </w:p>
        </w:tc>
      </w:tr>
      <w:tr>
        <w:tc>
          <w:tcPr>
            <w:tcW w:type="dxa" w:w="2409"/>
          </w:tcPr>
          <w:p>
            <w:r/>
          </w:p>
        </w:tc>
        <w:tc>
          <w:tcPr>
            <w:tcW w:type="dxa" w:w="2409"/>
          </w:tcPr>
          <w:p>
            <w:r>
              <w:t>第二章 可持续发展信息披露框架-第十九条 披露主体应当披露根据相关法律法规、本指引要求以及自身需要设定的可持续发展目标及相关指标，并披露报告期末相关目标整体实现情况以及报告期内的进展情况。</w:t>
            </w:r>
          </w:p>
        </w:tc>
        <w:tc>
          <w:tcPr>
            <w:tcW w:type="dxa" w:w="2409"/>
          </w:tcPr>
          <w:p>
            <w:r>
              <w:t>可持续发展管理-目标与指标披露管理流程</w:t>
            </w:r>
          </w:p>
        </w:tc>
        <w:tc>
          <w:tcPr>
            <w:tcW w:type="dxa" w:w="2409"/>
          </w:tcPr>
          <w:p>
            <w:r/>
          </w:p>
        </w:tc>
      </w:tr>
      <w:tr>
        <w:tc>
          <w:tcPr>
            <w:tcW w:type="dxa" w:w="2409"/>
          </w:tcPr>
          <w:p>
            <w:r/>
          </w:p>
        </w:tc>
        <w:tc>
          <w:tcPr>
            <w:tcW w:type="dxa" w:w="2409"/>
          </w:tcPr>
          <w:p>
            <w:r>
              <w:t>第三章 环境信息披露-第一节 应对气候变化</w:t>
            </w:r>
          </w:p>
        </w:tc>
        <w:tc>
          <w:tcPr>
            <w:tcW w:type="dxa" w:w="2409"/>
          </w:tcPr>
          <w:p>
            <w:r>
              <w:t>环境-应对气候变化</w:t>
            </w:r>
          </w:p>
        </w:tc>
        <w:tc>
          <w:tcPr>
            <w:tcW w:type="dxa" w:w="2409"/>
          </w:tcPr>
          <w:p>
            <w:r/>
          </w:p>
        </w:tc>
      </w:tr>
      <w:tr>
        <w:tc>
          <w:tcPr>
            <w:tcW w:type="dxa" w:w="2409"/>
          </w:tcPr>
          <w:p>
            <w:r/>
          </w:p>
        </w:tc>
        <w:tc>
          <w:tcPr>
            <w:tcW w:type="dxa" w:w="2409"/>
          </w:tcPr>
          <w:p>
            <w:r>
              <w:t>第三章 环境信息披露-第二节 污染防治与生态系统保护</w:t>
            </w:r>
          </w:p>
        </w:tc>
        <w:tc>
          <w:tcPr>
            <w:tcW w:type="dxa" w:w="2409"/>
          </w:tcPr>
          <w:p>
            <w:r>
              <w:t>环境-污染物排放</w:t>
            </w:r>
          </w:p>
        </w:tc>
        <w:tc>
          <w:tcPr>
            <w:tcW w:type="dxa" w:w="2409"/>
          </w:tcPr>
          <w:p>
            <w:r/>
          </w:p>
        </w:tc>
      </w:tr>
      <w:tr>
        <w:tc>
          <w:tcPr>
            <w:tcW w:type="dxa" w:w="2409"/>
          </w:tcPr>
          <w:p>
            <w:r/>
          </w:p>
        </w:tc>
        <w:tc>
          <w:tcPr>
            <w:tcW w:type="dxa" w:w="2409"/>
          </w:tcPr>
          <w:p>
            <w:r>
              <w:t>第三章 环境信息披露-第二节 污染防治与生态系统保护</w:t>
            </w:r>
          </w:p>
        </w:tc>
        <w:tc>
          <w:tcPr>
            <w:tcW w:type="dxa" w:w="2409"/>
          </w:tcPr>
          <w:p>
            <w:r>
              <w:t>环境-废弃物处理</w:t>
            </w:r>
          </w:p>
        </w:tc>
        <w:tc>
          <w:tcPr>
            <w:tcW w:type="dxa" w:w="2409"/>
          </w:tcPr>
          <w:p>
            <w:r/>
          </w:p>
        </w:tc>
      </w:tr>
      <w:tr>
        <w:tc>
          <w:tcPr>
            <w:tcW w:type="dxa" w:w="2409"/>
          </w:tcPr>
          <w:p>
            <w:r/>
          </w:p>
        </w:tc>
        <w:tc>
          <w:tcPr>
            <w:tcW w:type="dxa" w:w="2409"/>
          </w:tcPr>
          <w:p>
            <w:r>
              <w:t>第三章 环境信息披露-第二节 污染防治与生态系统保护</w:t>
            </w:r>
          </w:p>
        </w:tc>
        <w:tc>
          <w:tcPr>
            <w:tcW w:type="dxa" w:w="2409"/>
          </w:tcPr>
          <w:p>
            <w:r>
              <w:t>环境-生态系统和生物多样性</w:t>
            </w:r>
          </w:p>
        </w:tc>
        <w:tc>
          <w:tcPr>
            <w:tcW w:type="dxa" w:w="2409"/>
          </w:tcPr>
          <w:p>
            <w:r/>
          </w:p>
        </w:tc>
      </w:tr>
      <w:tr>
        <w:tc>
          <w:tcPr>
            <w:tcW w:type="dxa" w:w="2409"/>
          </w:tcPr>
          <w:p>
            <w:r/>
          </w:p>
        </w:tc>
        <w:tc>
          <w:tcPr>
            <w:tcW w:type="dxa" w:w="2409"/>
          </w:tcPr>
          <w:p>
            <w:r>
              <w:t>第三章 环境信息披露-第二节 污染防治与生态系统保护</w:t>
            </w:r>
          </w:p>
        </w:tc>
        <w:tc>
          <w:tcPr>
            <w:tcW w:type="dxa" w:w="2409"/>
          </w:tcPr>
          <w:p>
            <w:r>
              <w:t>环境-环境合规管理</w:t>
            </w:r>
          </w:p>
        </w:tc>
        <w:tc>
          <w:tcPr>
            <w:tcW w:type="dxa" w:w="2409"/>
          </w:tcPr>
          <w:p>
            <w:r/>
          </w:p>
        </w:tc>
      </w:tr>
      <w:tr>
        <w:tc>
          <w:tcPr>
            <w:tcW w:type="dxa" w:w="2409"/>
          </w:tcPr>
          <w:p>
            <w:r/>
          </w:p>
        </w:tc>
        <w:tc>
          <w:tcPr>
            <w:tcW w:type="dxa" w:w="2409"/>
          </w:tcPr>
          <w:p>
            <w:r>
              <w:t>第三章 环境信息披露-第三节 资源利用与循环经济</w:t>
            </w:r>
          </w:p>
        </w:tc>
        <w:tc>
          <w:tcPr>
            <w:tcW w:type="dxa" w:w="2409"/>
          </w:tcPr>
          <w:p>
            <w:r>
              <w:t>环境-能源利用</w:t>
            </w:r>
          </w:p>
        </w:tc>
        <w:tc>
          <w:tcPr>
            <w:tcW w:type="dxa" w:w="2409"/>
          </w:tcPr>
          <w:p>
            <w:r/>
          </w:p>
        </w:tc>
      </w:tr>
      <w:tr>
        <w:tc>
          <w:tcPr>
            <w:tcW w:type="dxa" w:w="2409"/>
          </w:tcPr>
          <w:p>
            <w:r/>
          </w:p>
        </w:tc>
        <w:tc>
          <w:tcPr>
            <w:tcW w:type="dxa" w:w="2409"/>
          </w:tcPr>
          <w:p>
            <w:r>
              <w:t>第三章 环境信息披露-第三节 资源利用与循环经济</w:t>
            </w:r>
          </w:p>
        </w:tc>
        <w:tc>
          <w:tcPr>
            <w:tcW w:type="dxa" w:w="2409"/>
          </w:tcPr>
          <w:p>
            <w:r>
              <w:t>环境-水资源利用</w:t>
            </w:r>
          </w:p>
        </w:tc>
        <w:tc>
          <w:tcPr>
            <w:tcW w:type="dxa" w:w="2409"/>
          </w:tcPr>
          <w:p>
            <w:r/>
          </w:p>
        </w:tc>
      </w:tr>
      <w:tr>
        <w:tc>
          <w:tcPr>
            <w:tcW w:type="dxa" w:w="2409"/>
          </w:tcPr>
          <w:p>
            <w:r/>
          </w:p>
        </w:tc>
        <w:tc>
          <w:tcPr>
            <w:tcW w:type="dxa" w:w="2409"/>
          </w:tcPr>
          <w:p>
            <w:r>
              <w:t>第三章 环境信息披露-第三节 资源利用与循环经济</w:t>
            </w:r>
          </w:p>
        </w:tc>
        <w:tc>
          <w:tcPr>
            <w:tcW w:type="dxa" w:w="2409"/>
          </w:tcPr>
          <w:p>
            <w:r>
              <w:t>环境-循环经济</w:t>
            </w:r>
          </w:p>
        </w:tc>
        <w:tc>
          <w:tcPr>
            <w:tcW w:type="dxa" w:w="2409"/>
          </w:tcPr>
          <w:p>
            <w:r/>
          </w:p>
        </w:tc>
      </w:tr>
      <w:tr>
        <w:tc>
          <w:tcPr>
            <w:tcW w:type="dxa" w:w="2409"/>
          </w:tcPr>
          <w:p>
            <w:r/>
          </w:p>
        </w:tc>
        <w:tc>
          <w:tcPr>
            <w:tcW w:type="dxa" w:w="2409"/>
          </w:tcPr>
          <w:p>
            <w:r>
              <w:t>第四章 社会信息披露-第一节 乡村振兴与社会贡献</w:t>
            </w:r>
          </w:p>
        </w:tc>
        <w:tc>
          <w:tcPr>
            <w:tcW w:type="dxa" w:w="2409"/>
          </w:tcPr>
          <w:p>
            <w:r>
              <w:t>社会-乡村振兴</w:t>
            </w:r>
          </w:p>
        </w:tc>
        <w:tc>
          <w:tcPr>
            <w:tcW w:type="dxa" w:w="2409"/>
          </w:tcPr>
          <w:p>
            <w:r/>
          </w:p>
        </w:tc>
      </w:tr>
      <w:tr>
        <w:tc>
          <w:tcPr>
            <w:tcW w:type="dxa" w:w="2409"/>
          </w:tcPr>
          <w:p>
            <w:r/>
          </w:p>
        </w:tc>
        <w:tc>
          <w:tcPr>
            <w:tcW w:type="dxa" w:w="2409"/>
          </w:tcPr>
          <w:p>
            <w:r>
              <w:t>第四章 社会信息披露-第一节 乡村振兴与社会贡献</w:t>
            </w:r>
          </w:p>
        </w:tc>
        <w:tc>
          <w:tcPr>
            <w:tcW w:type="dxa" w:w="2409"/>
          </w:tcPr>
          <w:p>
            <w:r>
              <w:t>社会-社会贡献</w:t>
            </w:r>
          </w:p>
        </w:tc>
        <w:tc>
          <w:tcPr>
            <w:tcW w:type="dxa" w:w="2409"/>
          </w:tcPr>
          <w:p>
            <w:r/>
          </w:p>
        </w:tc>
      </w:tr>
      <w:tr>
        <w:tc>
          <w:tcPr>
            <w:tcW w:type="dxa" w:w="2409"/>
          </w:tcPr>
          <w:p>
            <w:r/>
          </w:p>
        </w:tc>
        <w:tc>
          <w:tcPr>
            <w:tcW w:type="dxa" w:w="2409"/>
          </w:tcPr>
          <w:p>
            <w:r>
              <w:t>第四章 社会信息披露-第二节 创新驱动与科技伦理</w:t>
            </w:r>
          </w:p>
        </w:tc>
        <w:tc>
          <w:tcPr>
            <w:tcW w:type="dxa" w:w="2409"/>
          </w:tcPr>
          <w:p>
            <w:r>
              <w:t>社会-创新驱动</w:t>
            </w:r>
          </w:p>
        </w:tc>
        <w:tc>
          <w:tcPr>
            <w:tcW w:type="dxa" w:w="2409"/>
          </w:tcPr>
          <w:p>
            <w:r/>
          </w:p>
        </w:tc>
      </w:tr>
      <w:tr>
        <w:tc>
          <w:tcPr>
            <w:tcW w:type="dxa" w:w="2409"/>
          </w:tcPr>
          <w:p>
            <w:r/>
          </w:p>
        </w:tc>
        <w:tc>
          <w:tcPr>
            <w:tcW w:type="dxa" w:w="2409"/>
          </w:tcPr>
          <w:p>
            <w:r>
              <w:t>第四章 社会信息披露-第二节 创新驱动与科技伦理</w:t>
            </w:r>
          </w:p>
        </w:tc>
        <w:tc>
          <w:tcPr>
            <w:tcW w:type="dxa" w:w="2409"/>
          </w:tcPr>
          <w:p>
            <w:r>
              <w:t>社会-科技伦理</w:t>
            </w:r>
          </w:p>
        </w:tc>
        <w:tc>
          <w:tcPr>
            <w:tcW w:type="dxa" w:w="2409"/>
          </w:tcPr>
          <w:p>
            <w:r/>
          </w:p>
        </w:tc>
      </w:tr>
      <w:tr>
        <w:tc>
          <w:tcPr>
            <w:tcW w:type="dxa" w:w="2409"/>
          </w:tcPr>
          <w:p>
            <w:r/>
          </w:p>
        </w:tc>
        <w:tc>
          <w:tcPr>
            <w:tcW w:type="dxa" w:w="2409"/>
          </w:tcPr>
          <w:p>
            <w:r>
              <w:t>第四章 社会信息披露-第三节 供应商与客户</w:t>
            </w:r>
          </w:p>
        </w:tc>
        <w:tc>
          <w:tcPr>
            <w:tcW w:type="dxa" w:w="2409"/>
          </w:tcPr>
          <w:p>
            <w:r>
              <w:t>社会-供应链安全</w:t>
            </w:r>
          </w:p>
        </w:tc>
        <w:tc>
          <w:tcPr>
            <w:tcW w:type="dxa" w:w="2409"/>
          </w:tcPr>
          <w:p>
            <w:r/>
          </w:p>
        </w:tc>
      </w:tr>
      <w:tr>
        <w:tc>
          <w:tcPr>
            <w:tcW w:type="dxa" w:w="2409"/>
          </w:tcPr>
          <w:p>
            <w:r/>
          </w:p>
        </w:tc>
        <w:tc>
          <w:tcPr>
            <w:tcW w:type="dxa" w:w="2409"/>
          </w:tcPr>
          <w:p>
            <w:r>
              <w:t>第四章 社会信息披露-第三节 供应商与客户</w:t>
            </w:r>
          </w:p>
        </w:tc>
        <w:tc>
          <w:tcPr>
            <w:tcW w:type="dxa" w:w="2409"/>
          </w:tcPr>
          <w:p>
            <w:r>
              <w:t>社会-平等对待中小企业</w:t>
            </w:r>
          </w:p>
        </w:tc>
        <w:tc>
          <w:tcPr>
            <w:tcW w:type="dxa" w:w="2409"/>
          </w:tcPr>
          <w:p>
            <w:r/>
          </w:p>
        </w:tc>
      </w:tr>
      <w:tr>
        <w:tc>
          <w:tcPr>
            <w:tcW w:type="dxa" w:w="2409"/>
          </w:tcPr>
          <w:p>
            <w:r/>
          </w:p>
        </w:tc>
        <w:tc>
          <w:tcPr>
            <w:tcW w:type="dxa" w:w="2409"/>
          </w:tcPr>
          <w:p>
            <w:r>
              <w:t>第四章 社会信息披露-第三节 供应商与客户</w:t>
            </w:r>
          </w:p>
        </w:tc>
        <w:tc>
          <w:tcPr>
            <w:tcW w:type="dxa" w:w="2409"/>
          </w:tcPr>
          <w:p>
            <w:r>
              <w:t>社会-产品和服务安全与质量</w:t>
            </w:r>
          </w:p>
        </w:tc>
        <w:tc>
          <w:tcPr>
            <w:tcW w:type="dxa" w:w="2409"/>
          </w:tcPr>
          <w:p>
            <w:r/>
          </w:p>
        </w:tc>
      </w:tr>
      <w:tr>
        <w:tc>
          <w:tcPr>
            <w:tcW w:type="dxa" w:w="2409"/>
          </w:tcPr>
          <w:p>
            <w:r/>
          </w:p>
        </w:tc>
        <w:tc>
          <w:tcPr>
            <w:tcW w:type="dxa" w:w="2409"/>
          </w:tcPr>
          <w:p>
            <w:r>
              <w:t>第四章 社会信息披露-第三节 供应商与客户</w:t>
            </w:r>
          </w:p>
        </w:tc>
        <w:tc>
          <w:tcPr>
            <w:tcW w:type="dxa" w:w="2409"/>
          </w:tcPr>
          <w:p>
            <w:r>
              <w:t>社会-数据安全与客户隐私保护</w:t>
            </w:r>
          </w:p>
        </w:tc>
        <w:tc>
          <w:tcPr>
            <w:tcW w:type="dxa" w:w="2409"/>
          </w:tcPr>
          <w:p>
            <w:r/>
          </w:p>
        </w:tc>
      </w:tr>
      <w:tr>
        <w:tc>
          <w:tcPr>
            <w:tcW w:type="dxa" w:w="2409"/>
          </w:tcPr>
          <w:p>
            <w:r/>
          </w:p>
        </w:tc>
        <w:tc>
          <w:tcPr>
            <w:tcW w:type="dxa" w:w="2409"/>
          </w:tcPr>
          <w:p>
            <w:r>
              <w:t>第四章 社会信息披露-第四节 员工</w:t>
            </w:r>
          </w:p>
        </w:tc>
        <w:tc>
          <w:tcPr>
            <w:tcW w:type="dxa" w:w="2409"/>
          </w:tcPr>
          <w:p>
            <w:r>
              <w:t>社会-员工</w:t>
            </w:r>
          </w:p>
        </w:tc>
        <w:tc>
          <w:tcPr>
            <w:tcW w:type="dxa" w:w="2409"/>
          </w:tcPr>
          <w:p>
            <w:r/>
          </w:p>
        </w:tc>
      </w:tr>
      <w:tr>
        <w:tc>
          <w:tcPr>
            <w:tcW w:type="dxa" w:w="2409"/>
          </w:tcPr>
          <w:p>
            <w:r/>
          </w:p>
        </w:tc>
        <w:tc>
          <w:tcPr>
            <w:tcW w:type="dxa" w:w="2409"/>
          </w:tcPr>
          <w:p>
            <w:r>
              <w:t>第五章 可持续发展相关治理信息披露-第一节 可持续发展相关治理机制</w:t>
            </w:r>
          </w:p>
        </w:tc>
        <w:tc>
          <w:tcPr>
            <w:tcW w:type="dxa" w:w="2409"/>
          </w:tcPr>
          <w:p>
            <w:r>
              <w:t>公司治理-尽职调查</w:t>
            </w:r>
          </w:p>
        </w:tc>
        <w:tc>
          <w:tcPr>
            <w:tcW w:type="dxa" w:w="2409"/>
          </w:tcPr>
          <w:p>
            <w:r/>
          </w:p>
        </w:tc>
      </w:tr>
      <w:tr>
        <w:tc>
          <w:tcPr>
            <w:tcW w:type="dxa" w:w="2409"/>
          </w:tcPr>
          <w:p>
            <w:r/>
          </w:p>
        </w:tc>
        <w:tc>
          <w:tcPr>
            <w:tcW w:type="dxa" w:w="2409"/>
          </w:tcPr>
          <w:p>
            <w:r>
              <w:t>第五章 可持续发展相关治理信息披露-第一节 可持续发展相关治理机制</w:t>
            </w:r>
          </w:p>
        </w:tc>
        <w:tc>
          <w:tcPr>
            <w:tcW w:type="dxa" w:w="2409"/>
          </w:tcPr>
          <w:p>
            <w:r>
              <w:t>公司治理-利益相关方沟通</w:t>
            </w:r>
          </w:p>
        </w:tc>
        <w:tc>
          <w:tcPr>
            <w:tcW w:type="dxa" w:w="2409"/>
          </w:tcPr>
          <w:p>
            <w:r/>
          </w:p>
        </w:tc>
      </w:tr>
      <w:tr>
        <w:tc>
          <w:tcPr>
            <w:tcW w:type="dxa" w:w="2409"/>
          </w:tcPr>
          <w:p>
            <w:r/>
          </w:p>
        </w:tc>
        <w:tc>
          <w:tcPr>
            <w:tcW w:type="dxa" w:w="2409"/>
          </w:tcPr>
          <w:p>
            <w:r>
              <w:t>第五章 可持续发展相关治理信息披露-第二节 商业行为</w:t>
            </w:r>
          </w:p>
        </w:tc>
        <w:tc>
          <w:tcPr>
            <w:tcW w:type="dxa" w:w="2409"/>
          </w:tcPr>
          <w:p>
            <w:r>
              <w:t>公司治理-反商业贿赂及反贪污</w:t>
            </w:r>
          </w:p>
        </w:tc>
        <w:tc>
          <w:tcPr>
            <w:tcW w:type="dxa" w:w="2409"/>
          </w:tcPr>
          <w:p>
            <w:r/>
          </w:p>
        </w:tc>
      </w:tr>
      <w:tr>
        <w:tc>
          <w:tcPr>
            <w:tcW w:type="dxa" w:w="2409"/>
          </w:tcPr>
          <w:p>
            <w:r/>
          </w:p>
        </w:tc>
        <w:tc>
          <w:tcPr>
            <w:tcW w:type="dxa" w:w="2409"/>
          </w:tcPr>
          <w:p>
            <w:r>
              <w:t>第五章 可持续发展相关治理信息披露-第二节 商业行为</w:t>
            </w:r>
          </w:p>
        </w:tc>
        <w:tc>
          <w:tcPr>
            <w:tcW w:type="dxa" w:w="2409"/>
          </w:tcPr>
          <w:p>
            <w:r>
              <w:t>公司治理-反不正当竞争</w:t>
            </w:r>
          </w:p>
        </w:tc>
        <w:tc>
          <w:tcPr>
            <w:tcW w:type="dxa" w:w="2409"/>
          </w:tcPr>
          <w:p>
            <w:r/>
          </w:p>
        </w:tc>
      </w:tr>
    </w:tbl>
    <w:p>
      <w:r>
        <w:br/>
      </w:r>
    </w:p>
    <w:p>
      <w:r>
        <w:br w:type="page"/>
      </w:r>
    </w:p>
    <w:p>
      <w:pPr>
        <w:pStyle w:val="Heading1"/>
      </w:pPr>
      <w:r>
        <w:rPr>
          <w:rFonts w:ascii="等线" w:hAnsi="等线" w:eastAsia="等线"/>
          <w:color w:val="000000"/>
          <w:sz w:val="44"/>
        </w:rPr>
        <w:t>未覆盖标准说明</w:t>
      </w:r>
    </w:p>
    <w:p>
      <w:r>
        <w:br w:type="page"/>
      </w:r>
    </w:p>
    <w:sectPr w:rsidR="00FC693F" w:rsidRPr="0006063C" w:rsidSect="00034616">
      <w:pgSz w:w="11906" w:h="16838"/>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